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04683">
      <w:pPr>
        <w:spacing w:line="360" w:lineRule="auto"/>
        <w:ind w:firstLine="720" w:firstLineChars="200"/>
        <w:jc w:val="center"/>
        <w:rPr>
          <w:rFonts w:ascii="黑体" w:hAnsi="黑体" w:eastAsia="黑体"/>
          <w:snapToGrid w:val="0"/>
          <w:color w:val="auto"/>
          <w:kern w:val="0"/>
          <w:sz w:val="36"/>
          <w:szCs w:val="36"/>
        </w:rPr>
      </w:pPr>
      <w:r>
        <w:rPr>
          <w:rFonts w:hint="eastAsia" w:ascii="黑体" w:hAnsi="黑体" w:eastAsia="黑体"/>
          <w:snapToGrid w:val="0"/>
          <w:color w:val="auto"/>
          <w:kern w:val="0"/>
          <w:sz w:val="36"/>
          <w:szCs w:val="36"/>
        </w:rPr>
        <w:t>上海外国语大学国际教育学院</w:t>
      </w:r>
    </w:p>
    <w:p w14:paraId="492D92F4">
      <w:pPr>
        <w:spacing w:line="360" w:lineRule="auto"/>
        <w:ind w:firstLine="720" w:firstLineChars="200"/>
        <w:jc w:val="center"/>
        <w:rPr>
          <w:rFonts w:ascii="黑体" w:hAnsi="黑体" w:eastAsia="黑体"/>
          <w:snapToGrid w:val="0"/>
          <w:color w:val="auto"/>
          <w:kern w:val="0"/>
          <w:sz w:val="36"/>
          <w:szCs w:val="36"/>
        </w:rPr>
      </w:pPr>
      <w:r>
        <w:rPr>
          <w:rFonts w:hint="eastAsia" w:ascii="黑体" w:hAnsi="黑体" w:eastAsia="黑体"/>
          <w:snapToGrid w:val="0"/>
          <w:color w:val="auto"/>
          <w:kern w:val="0"/>
          <w:sz w:val="36"/>
          <w:szCs w:val="36"/>
        </w:rPr>
        <w:t>少数民族预科生德育测评分评定细则</w:t>
      </w:r>
    </w:p>
    <w:p w14:paraId="4784075C">
      <w:pPr>
        <w:spacing w:line="360" w:lineRule="auto"/>
        <w:ind w:firstLine="640" w:firstLineChars="200"/>
        <w:jc w:val="center"/>
        <w:rPr>
          <w:rFonts w:ascii="黑体" w:hAnsi="黑体" w:eastAsia="黑体"/>
          <w:snapToGrid w:val="0"/>
          <w:color w:val="auto"/>
          <w:kern w:val="0"/>
          <w:sz w:val="32"/>
          <w:szCs w:val="32"/>
        </w:rPr>
      </w:pPr>
    </w:p>
    <w:p w14:paraId="64429466">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为全面贯彻党的教育方针，培养政治坚定、素质过硬的少数民族高素质人才，结合《上海外国语大学少数民族预科生奖学金实施办法》及《上海外国语大学少数民族预科生德育测评分实施办法》，制定本细则。</w:t>
      </w:r>
    </w:p>
    <w:p w14:paraId="34E0A3CF">
      <w:pPr>
        <w:spacing w:line="360" w:lineRule="auto"/>
        <w:ind w:firstLine="480" w:firstLineChars="200"/>
        <w:rPr>
          <w:rFonts w:ascii="仿宋" w:hAnsi="仿宋" w:eastAsia="仿宋"/>
          <w:snapToGrid w:val="0"/>
          <w:color w:val="auto"/>
          <w:kern w:val="0"/>
          <w:sz w:val="24"/>
        </w:rPr>
      </w:pPr>
    </w:p>
    <w:p w14:paraId="3C89E6CB">
      <w:pPr>
        <w:spacing w:line="360" w:lineRule="auto"/>
        <w:ind w:firstLine="482" w:firstLineChars="200"/>
        <w:rPr>
          <w:rFonts w:ascii="仿宋" w:hAnsi="仿宋" w:eastAsia="仿宋" w:cs="宋体"/>
          <w:b/>
          <w:snapToGrid w:val="0"/>
          <w:color w:val="auto"/>
          <w:kern w:val="0"/>
          <w:sz w:val="24"/>
        </w:rPr>
      </w:pPr>
      <w:r>
        <w:rPr>
          <w:rFonts w:hint="eastAsia" w:ascii="仿宋" w:hAnsi="仿宋" w:eastAsia="仿宋" w:cs="宋体"/>
          <w:b/>
          <w:snapToGrid w:val="0"/>
          <w:color w:val="auto"/>
          <w:kern w:val="0"/>
          <w:sz w:val="24"/>
        </w:rPr>
        <w:t>一、德育测评分评价指标</w:t>
      </w:r>
    </w:p>
    <w:p w14:paraId="7721D555">
      <w:pPr>
        <w:spacing w:line="360" w:lineRule="auto"/>
        <w:ind w:firstLine="480" w:firstLineChars="200"/>
        <w:rPr>
          <w:rFonts w:ascii="仿宋" w:hAnsi="仿宋" w:eastAsia="仿宋" w:cs="宋体"/>
          <w:snapToGrid w:val="0"/>
          <w:color w:val="auto"/>
          <w:kern w:val="0"/>
          <w:sz w:val="24"/>
        </w:rPr>
      </w:pPr>
      <w:r>
        <w:rPr>
          <w:rFonts w:hint="eastAsia" w:ascii="仿宋" w:hAnsi="仿宋" w:eastAsia="仿宋" w:cs="宋体"/>
          <w:snapToGrid w:val="0"/>
          <w:color w:val="auto"/>
          <w:kern w:val="0"/>
          <w:sz w:val="24"/>
        </w:rPr>
        <w:t>德育测评分由“思想政治和道德素养”、“集体观念和组织纪律”、“课堂表现和学习态度”以及“创新实践和志愿服务”四部分构成。</w:t>
      </w:r>
    </w:p>
    <w:p w14:paraId="787D7F93">
      <w:pPr>
        <w:spacing w:line="360" w:lineRule="auto"/>
        <w:ind w:firstLine="480" w:firstLineChars="200"/>
        <w:rPr>
          <w:rFonts w:ascii="仿宋" w:hAnsi="仿宋" w:eastAsia="仿宋" w:cs="宋体"/>
          <w:snapToGrid w:val="0"/>
          <w:color w:val="auto"/>
          <w:kern w:val="0"/>
          <w:sz w:val="24"/>
        </w:rPr>
      </w:pPr>
    </w:p>
    <w:p w14:paraId="4AD276DE">
      <w:pPr>
        <w:spacing w:line="360" w:lineRule="auto"/>
        <w:ind w:firstLine="361" w:firstLineChars="150"/>
        <w:rPr>
          <w:rFonts w:ascii="仿宋" w:hAnsi="仿宋" w:eastAsia="仿宋" w:cs="宋体"/>
          <w:b/>
          <w:snapToGrid w:val="0"/>
          <w:color w:val="auto"/>
          <w:kern w:val="0"/>
          <w:sz w:val="24"/>
        </w:rPr>
      </w:pPr>
      <w:r>
        <w:rPr>
          <w:rFonts w:hint="eastAsia" w:ascii="仿宋" w:hAnsi="仿宋" w:eastAsia="仿宋" w:cs="宋体"/>
          <w:b/>
          <w:snapToGrid w:val="0"/>
          <w:color w:val="auto"/>
          <w:kern w:val="0"/>
          <w:sz w:val="24"/>
        </w:rPr>
        <w:t>二、评分范围及标准</w:t>
      </w:r>
    </w:p>
    <w:p w14:paraId="1C58A6CC">
      <w:pPr>
        <w:spacing w:line="360" w:lineRule="auto"/>
        <w:ind w:firstLine="480" w:firstLineChars="200"/>
        <w:rPr>
          <w:rFonts w:ascii="仿宋" w:hAnsi="仿宋" w:eastAsia="仿宋" w:cs="宋体"/>
          <w:snapToGrid w:val="0"/>
          <w:color w:val="auto"/>
          <w:kern w:val="0"/>
          <w:sz w:val="24"/>
        </w:rPr>
      </w:pPr>
      <w:r>
        <w:rPr>
          <w:rFonts w:hint="eastAsia" w:ascii="仿宋" w:hAnsi="仿宋" w:eastAsia="仿宋" w:cs="宋体"/>
          <w:snapToGrid w:val="0"/>
          <w:color w:val="auto"/>
          <w:kern w:val="0"/>
          <w:sz w:val="24"/>
        </w:rPr>
        <w:t>德育测评分满分为20分，基本分为15分，低于15分为不合格。</w:t>
      </w:r>
    </w:p>
    <w:tbl>
      <w:tblPr>
        <w:tblStyle w:val="5"/>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62"/>
        <w:gridCol w:w="1840"/>
        <w:gridCol w:w="1704"/>
        <w:gridCol w:w="1777"/>
      </w:tblGrid>
      <w:tr w14:paraId="193B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262A05E">
            <w:pPr>
              <w:spacing w:line="360" w:lineRule="auto"/>
              <w:jc w:val="center"/>
              <w:rPr>
                <w:rFonts w:ascii="仿宋" w:hAnsi="仿宋" w:eastAsia="仿宋"/>
                <w:color w:val="auto"/>
              </w:rPr>
            </w:pPr>
            <w:r>
              <w:rPr>
                <w:rFonts w:hint="eastAsia" w:ascii="仿宋" w:hAnsi="仿宋" w:eastAsia="仿宋"/>
                <w:color w:val="auto"/>
                <w:sz w:val="24"/>
              </w:rPr>
              <w:t>类别</w:t>
            </w:r>
          </w:p>
        </w:tc>
        <w:tc>
          <w:tcPr>
            <w:tcW w:w="6883"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2FDDDC">
            <w:pPr>
              <w:spacing w:line="360" w:lineRule="auto"/>
              <w:jc w:val="center"/>
              <w:rPr>
                <w:rFonts w:ascii="仿宋" w:hAnsi="仿宋" w:eastAsia="仿宋"/>
                <w:color w:val="auto"/>
              </w:rPr>
            </w:pPr>
            <w:r>
              <w:rPr>
                <w:rFonts w:hint="eastAsia" w:ascii="仿宋" w:hAnsi="仿宋" w:eastAsia="仿宋" w:cs="宋体"/>
                <w:snapToGrid w:val="0"/>
                <w:color w:val="auto"/>
                <w:kern w:val="0"/>
                <w:sz w:val="24"/>
              </w:rPr>
              <w:t>德育测评分</w:t>
            </w:r>
          </w:p>
        </w:tc>
      </w:tr>
      <w:tr w14:paraId="3F47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EF84B7">
            <w:pPr>
              <w:spacing w:line="360" w:lineRule="auto"/>
              <w:jc w:val="center"/>
              <w:rPr>
                <w:rFonts w:ascii="仿宋" w:hAnsi="仿宋" w:eastAsia="仿宋"/>
                <w:color w:val="auto"/>
              </w:rPr>
            </w:pPr>
            <w:r>
              <w:rPr>
                <w:rFonts w:hint="eastAsia" w:ascii="仿宋" w:hAnsi="仿宋" w:eastAsia="仿宋"/>
                <w:color w:val="auto"/>
                <w:sz w:val="24"/>
              </w:rPr>
              <w:t>项目</w:t>
            </w:r>
          </w:p>
        </w:tc>
        <w:tc>
          <w:tcPr>
            <w:tcW w:w="15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AA12644">
            <w:pPr>
              <w:spacing w:line="360" w:lineRule="auto"/>
              <w:jc w:val="center"/>
              <w:rPr>
                <w:rFonts w:ascii="仿宋" w:hAnsi="仿宋" w:eastAsia="仿宋"/>
                <w:color w:val="auto"/>
              </w:rPr>
            </w:pPr>
            <w:r>
              <w:rPr>
                <w:rFonts w:hint="eastAsia" w:ascii="仿宋" w:hAnsi="仿宋" w:eastAsia="仿宋" w:cs="宋体"/>
                <w:snapToGrid w:val="0"/>
                <w:color w:val="auto"/>
                <w:kern w:val="0"/>
                <w:sz w:val="24"/>
              </w:rPr>
              <w:t>思想政治和道德素养</w:t>
            </w:r>
          </w:p>
        </w:tc>
        <w:tc>
          <w:tcPr>
            <w:tcW w:w="1840" w:type="dxa"/>
            <w:tcBorders>
              <w:top w:val="single" w:color="auto" w:sz="4" w:space="0"/>
              <w:left w:val="single" w:color="auto" w:sz="4" w:space="0"/>
              <w:bottom w:val="single" w:color="auto" w:sz="4" w:space="0"/>
              <w:right w:val="single" w:color="auto" w:sz="4" w:space="0"/>
            </w:tcBorders>
            <w:vAlign w:val="center"/>
          </w:tcPr>
          <w:p w14:paraId="58AA4538">
            <w:pPr>
              <w:spacing w:line="360" w:lineRule="auto"/>
              <w:jc w:val="center"/>
              <w:rPr>
                <w:rFonts w:ascii="仿宋" w:hAnsi="仿宋" w:eastAsia="仿宋"/>
                <w:color w:val="auto"/>
              </w:rPr>
            </w:pPr>
            <w:r>
              <w:rPr>
                <w:rFonts w:hint="eastAsia" w:ascii="仿宋" w:hAnsi="仿宋" w:eastAsia="仿宋" w:cs="宋体"/>
                <w:snapToGrid w:val="0"/>
                <w:color w:val="auto"/>
                <w:kern w:val="0"/>
                <w:sz w:val="24"/>
              </w:rPr>
              <w:t>集体观念和组织纪律</w:t>
            </w:r>
          </w:p>
        </w:tc>
        <w:tc>
          <w:tcPr>
            <w:tcW w:w="1704" w:type="dxa"/>
            <w:tcBorders>
              <w:top w:val="single" w:color="auto" w:sz="4" w:space="0"/>
              <w:left w:val="single" w:color="auto" w:sz="4" w:space="0"/>
              <w:bottom w:val="single" w:color="auto" w:sz="4" w:space="0"/>
              <w:right w:val="single" w:color="auto" w:sz="4" w:space="0"/>
            </w:tcBorders>
            <w:vAlign w:val="center"/>
          </w:tcPr>
          <w:p w14:paraId="4E0E490D">
            <w:pPr>
              <w:spacing w:line="360" w:lineRule="auto"/>
              <w:jc w:val="center"/>
              <w:rPr>
                <w:rFonts w:ascii="仿宋" w:hAnsi="仿宋" w:eastAsia="仿宋"/>
                <w:color w:val="auto"/>
              </w:rPr>
            </w:pPr>
            <w:r>
              <w:rPr>
                <w:rFonts w:hint="eastAsia" w:ascii="仿宋" w:hAnsi="仿宋" w:eastAsia="仿宋" w:cs="宋体"/>
                <w:snapToGrid w:val="0"/>
                <w:color w:val="auto"/>
                <w:kern w:val="0"/>
                <w:sz w:val="24"/>
              </w:rPr>
              <w:t>课堂表现和学习态度</w:t>
            </w:r>
          </w:p>
        </w:tc>
        <w:tc>
          <w:tcPr>
            <w:tcW w:w="1777" w:type="dxa"/>
            <w:tcBorders>
              <w:top w:val="single" w:color="auto" w:sz="4" w:space="0"/>
              <w:left w:val="single" w:color="auto" w:sz="4" w:space="0"/>
              <w:bottom w:val="single" w:color="auto" w:sz="4" w:space="0"/>
              <w:right w:val="single" w:color="auto" w:sz="4" w:space="0"/>
            </w:tcBorders>
            <w:vAlign w:val="center"/>
          </w:tcPr>
          <w:p w14:paraId="56049778">
            <w:pPr>
              <w:spacing w:line="360" w:lineRule="auto"/>
              <w:jc w:val="center"/>
              <w:rPr>
                <w:rFonts w:ascii="仿宋" w:hAnsi="仿宋" w:eastAsia="仿宋"/>
                <w:color w:val="auto"/>
              </w:rPr>
            </w:pPr>
            <w:r>
              <w:rPr>
                <w:rFonts w:hint="eastAsia" w:ascii="仿宋" w:hAnsi="仿宋" w:eastAsia="仿宋" w:cs="宋体"/>
                <w:snapToGrid w:val="0"/>
                <w:color w:val="auto"/>
                <w:kern w:val="0"/>
                <w:sz w:val="24"/>
              </w:rPr>
              <w:t>创新实践和志愿服务</w:t>
            </w:r>
          </w:p>
        </w:tc>
      </w:tr>
      <w:tr w14:paraId="259E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5DD3970">
            <w:pPr>
              <w:spacing w:line="360" w:lineRule="auto"/>
              <w:jc w:val="center"/>
              <w:rPr>
                <w:rFonts w:ascii="仿宋" w:hAnsi="仿宋" w:eastAsia="仿宋"/>
                <w:color w:val="auto"/>
              </w:rPr>
            </w:pPr>
            <w:r>
              <w:rPr>
                <w:rFonts w:hint="eastAsia" w:ascii="仿宋" w:hAnsi="仿宋" w:eastAsia="仿宋"/>
                <w:color w:val="auto"/>
                <w:sz w:val="24"/>
              </w:rPr>
              <w:t>分值</w:t>
            </w:r>
          </w:p>
        </w:tc>
        <w:tc>
          <w:tcPr>
            <w:tcW w:w="156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7C206C9">
            <w:pPr>
              <w:spacing w:line="360" w:lineRule="auto"/>
              <w:jc w:val="center"/>
              <w:rPr>
                <w:rFonts w:ascii="仿宋" w:hAnsi="仿宋" w:eastAsia="仿宋"/>
                <w:color w:val="auto"/>
              </w:rPr>
            </w:pPr>
            <w:r>
              <w:rPr>
                <w:rFonts w:hint="eastAsia" w:ascii="仿宋" w:hAnsi="仿宋" w:eastAsia="仿宋"/>
                <w:color w:val="auto"/>
                <w:sz w:val="24"/>
              </w:rPr>
              <w:t>6</w:t>
            </w:r>
          </w:p>
        </w:tc>
        <w:tc>
          <w:tcPr>
            <w:tcW w:w="1840" w:type="dxa"/>
            <w:tcBorders>
              <w:top w:val="single" w:color="auto" w:sz="4" w:space="0"/>
              <w:left w:val="single" w:color="auto" w:sz="4" w:space="0"/>
              <w:bottom w:val="single" w:color="auto" w:sz="4" w:space="0"/>
              <w:right w:val="single" w:color="auto" w:sz="4" w:space="0"/>
            </w:tcBorders>
            <w:vAlign w:val="center"/>
          </w:tcPr>
          <w:p w14:paraId="34D83C98">
            <w:pPr>
              <w:spacing w:line="360" w:lineRule="auto"/>
              <w:jc w:val="center"/>
              <w:rPr>
                <w:rFonts w:ascii="仿宋" w:hAnsi="仿宋" w:eastAsia="仿宋"/>
                <w:color w:val="auto"/>
              </w:rPr>
            </w:pPr>
            <w:r>
              <w:rPr>
                <w:rFonts w:ascii="仿宋" w:hAnsi="仿宋" w:eastAsia="仿宋"/>
                <w:color w:val="auto"/>
                <w:sz w:val="24"/>
              </w:rPr>
              <w:t>4</w:t>
            </w:r>
          </w:p>
        </w:tc>
        <w:tc>
          <w:tcPr>
            <w:tcW w:w="1704" w:type="dxa"/>
            <w:tcBorders>
              <w:top w:val="single" w:color="auto" w:sz="4" w:space="0"/>
              <w:left w:val="single" w:color="auto" w:sz="4" w:space="0"/>
              <w:bottom w:val="single" w:color="auto" w:sz="4" w:space="0"/>
              <w:right w:val="single" w:color="auto" w:sz="4" w:space="0"/>
            </w:tcBorders>
            <w:vAlign w:val="center"/>
          </w:tcPr>
          <w:p w14:paraId="2D7D0E03">
            <w:pPr>
              <w:spacing w:line="360" w:lineRule="auto"/>
              <w:jc w:val="center"/>
              <w:rPr>
                <w:rFonts w:ascii="仿宋" w:hAnsi="仿宋" w:eastAsia="仿宋"/>
                <w:color w:val="auto"/>
              </w:rPr>
            </w:pPr>
            <w:r>
              <w:rPr>
                <w:rFonts w:ascii="仿宋" w:hAnsi="仿宋" w:eastAsia="仿宋"/>
                <w:color w:val="auto"/>
                <w:sz w:val="24"/>
              </w:rPr>
              <w:t>6</w:t>
            </w:r>
          </w:p>
        </w:tc>
        <w:tc>
          <w:tcPr>
            <w:tcW w:w="1777" w:type="dxa"/>
            <w:tcBorders>
              <w:top w:val="single" w:color="auto" w:sz="4" w:space="0"/>
              <w:left w:val="single" w:color="auto" w:sz="4" w:space="0"/>
              <w:bottom w:val="single" w:color="auto" w:sz="4" w:space="0"/>
              <w:right w:val="single" w:color="auto" w:sz="4" w:space="0"/>
            </w:tcBorders>
            <w:vAlign w:val="center"/>
          </w:tcPr>
          <w:p w14:paraId="466DA72B">
            <w:pPr>
              <w:spacing w:line="360" w:lineRule="auto"/>
              <w:jc w:val="center"/>
              <w:rPr>
                <w:rFonts w:ascii="仿宋" w:hAnsi="仿宋" w:eastAsia="仿宋"/>
                <w:color w:val="auto"/>
              </w:rPr>
            </w:pPr>
            <w:r>
              <w:rPr>
                <w:rFonts w:hint="eastAsia" w:ascii="仿宋" w:hAnsi="仿宋" w:eastAsia="仿宋"/>
                <w:color w:val="auto"/>
                <w:sz w:val="24"/>
              </w:rPr>
              <w:t>4</w:t>
            </w:r>
          </w:p>
        </w:tc>
      </w:tr>
      <w:tr w14:paraId="1535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 w:hRule="atLeast"/>
          <w:jc w:val="center"/>
        </w:trPr>
        <w:tc>
          <w:tcPr>
            <w:tcW w:w="11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42FF5B2">
            <w:pPr>
              <w:spacing w:line="360" w:lineRule="auto"/>
              <w:jc w:val="center"/>
              <w:rPr>
                <w:rFonts w:ascii="仿宋" w:hAnsi="仿宋" w:eastAsia="仿宋"/>
                <w:color w:val="auto"/>
              </w:rPr>
            </w:pPr>
            <w:r>
              <w:rPr>
                <w:rFonts w:hint="eastAsia" w:ascii="仿宋" w:hAnsi="仿宋" w:eastAsia="仿宋"/>
                <w:color w:val="auto"/>
                <w:sz w:val="24"/>
              </w:rPr>
              <w:t>评分</w:t>
            </w:r>
          </w:p>
        </w:tc>
        <w:tc>
          <w:tcPr>
            <w:tcW w:w="6883"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DF7BDB0">
            <w:pPr>
              <w:spacing w:line="360" w:lineRule="auto"/>
              <w:jc w:val="center"/>
              <w:rPr>
                <w:rFonts w:ascii="仿宋" w:hAnsi="仿宋" w:eastAsia="仿宋"/>
                <w:color w:val="auto"/>
              </w:rPr>
            </w:pPr>
            <w:r>
              <w:rPr>
                <w:rFonts w:hint="eastAsia" w:ascii="仿宋" w:hAnsi="仿宋" w:eastAsia="仿宋"/>
                <w:color w:val="auto"/>
                <w:sz w:val="24"/>
              </w:rPr>
              <w:t>20分</w:t>
            </w:r>
          </w:p>
        </w:tc>
      </w:tr>
    </w:tbl>
    <w:p w14:paraId="1C15658B">
      <w:pPr>
        <w:spacing w:line="360" w:lineRule="auto"/>
        <w:ind w:firstLine="482" w:firstLineChars="200"/>
        <w:rPr>
          <w:rFonts w:ascii="仿宋" w:hAnsi="仿宋" w:eastAsia="仿宋" w:cs="宋体"/>
          <w:b/>
          <w:snapToGrid w:val="0"/>
          <w:color w:val="auto"/>
          <w:kern w:val="0"/>
          <w:sz w:val="24"/>
        </w:rPr>
      </w:pPr>
    </w:p>
    <w:p w14:paraId="1713AD27">
      <w:pPr>
        <w:spacing w:line="360" w:lineRule="auto"/>
        <w:ind w:firstLine="482" w:firstLineChars="200"/>
        <w:rPr>
          <w:rFonts w:ascii="仿宋" w:hAnsi="仿宋" w:eastAsia="仿宋" w:cs="宋体"/>
          <w:b/>
          <w:snapToGrid w:val="0"/>
          <w:color w:val="auto"/>
          <w:kern w:val="0"/>
          <w:sz w:val="24"/>
        </w:rPr>
      </w:pPr>
      <w:r>
        <w:rPr>
          <w:rFonts w:hint="eastAsia" w:ascii="仿宋" w:hAnsi="仿宋" w:eastAsia="仿宋" w:cs="宋体"/>
          <w:b/>
          <w:snapToGrid w:val="0"/>
          <w:color w:val="auto"/>
          <w:kern w:val="0"/>
          <w:sz w:val="24"/>
        </w:rPr>
        <w:t>（一）思想政治和道德素养</w:t>
      </w:r>
    </w:p>
    <w:p w14:paraId="0FA5B483">
      <w:pPr>
        <w:spacing w:line="360" w:lineRule="auto"/>
        <w:ind w:firstLine="480" w:firstLineChars="200"/>
        <w:rPr>
          <w:rFonts w:ascii="仿宋" w:hAnsi="仿宋" w:eastAsia="仿宋" w:cs="宋体"/>
          <w:snapToGrid w:val="0"/>
          <w:color w:val="auto"/>
          <w:kern w:val="0"/>
          <w:sz w:val="24"/>
        </w:rPr>
      </w:pPr>
      <w:r>
        <w:rPr>
          <w:rFonts w:hint="eastAsia" w:ascii="仿宋" w:hAnsi="仿宋" w:eastAsia="仿宋" w:cs="宋体"/>
          <w:snapToGrid w:val="0"/>
          <w:color w:val="auto"/>
          <w:kern w:val="0"/>
          <w:sz w:val="24"/>
        </w:rPr>
        <w:t>总分为6分，基本分（即无减分）为5分，在基本分的基础上进行加分或减分，加分上限为</w:t>
      </w:r>
      <w:r>
        <w:rPr>
          <w:rFonts w:ascii="仿宋" w:hAnsi="仿宋" w:eastAsia="仿宋" w:cs="宋体"/>
          <w:snapToGrid w:val="0"/>
          <w:color w:val="auto"/>
          <w:kern w:val="0"/>
          <w:sz w:val="24"/>
        </w:rPr>
        <w:t>1</w:t>
      </w:r>
      <w:r>
        <w:rPr>
          <w:rFonts w:hint="eastAsia" w:ascii="仿宋" w:hAnsi="仿宋" w:eastAsia="仿宋" w:cs="宋体"/>
          <w:snapToGrid w:val="0"/>
          <w:color w:val="auto"/>
          <w:kern w:val="0"/>
          <w:sz w:val="24"/>
        </w:rPr>
        <w:t>分。</w:t>
      </w:r>
    </w:p>
    <w:p w14:paraId="636222D3">
      <w:pPr>
        <w:spacing w:line="360" w:lineRule="auto"/>
        <w:ind w:firstLine="480" w:firstLineChars="200"/>
        <w:rPr>
          <w:rFonts w:ascii="仿宋" w:hAnsi="仿宋" w:eastAsia="仿宋" w:cs="宋体"/>
          <w:snapToGrid w:val="0"/>
          <w:color w:val="auto"/>
          <w:kern w:val="0"/>
          <w:sz w:val="24"/>
        </w:rPr>
      </w:pPr>
      <w:r>
        <w:rPr>
          <w:rFonts w:hint="eastAsia" w:ascii="仿宋" w:hAnsi="仿宋" w:eastAsia="仿宋" w:cs="宋体"/>
          <w:snapToGrid w:val="0"/>
          <w:color w:val="auto"/>
          <w:kern w:val="0"/>
          <w:sz w:val="24"/>
        </w:rPr>
        <w:t>（1）加分</w:t>
      </w:r>
    </w:p>
    <w:p w14:paraId="7786510A">
      <w:pPr>
        <w:pStyle w:val="7"/>
        <w:numPr>
          <w:ilvl w:val="0"/>
          <w:numId w:val="1"/>
        </w:numPr>
        <w:spacing w:line="360" w:lineRule="auto"/>
        <w:ind w:firstLine="480" w:firstLineChars="200"/>
        <w:rPr>
          <w:rFonts w:ascii="仿宋" w:hAnsi="仿宋" w:eastAsia="仿宋"/>
          <w:snapToGrid w:val="0"/>
          <w:color w:val="auto"/>
          <w:sz w:val="24"/>
          <w:szCs w:val="24"/>
          <w:lang w:eastAsia="zh-CN"/>
        </w:rPr>
      </w:pPr>
      <w:r>
        <w:rPr>
          <w:rFonts w:hint="eastAsia" w:ascii="仿宋" w:hAnsi="仿宋" w:eastAsia="仿宋"/>
          <w:snapToGrid w:val="0"/>
          <w:color w:val="auto"/>
          <w:sz w:val="24"/>
          <w:szCs w:val="24"/>
          <w:lang w:eastAsia="zh-CN"/>
        </w:rPr>
        <w:t>所在班级、团支部荣获校级（含）以上荣誉称号的，其主要贡献者加1分；先进集体成员加0.</w:t>
      </w:r>
      <w:r>
        <w:rPr>
          <w:rFonts w:ascii="仿宋" w:hAnsi="仿宋" w:eastAsia="仿宋"/>
          <w:snapToGrid w:val="0"/>
          <w:color w:val="auto"/>
          <w:sz w:val="24"/>
          <w:szCs w:val="24"/>
          <w:lang w:eastAsia="zh-CN"/>
        </w:rPr>
        <w:t>3</w:t>
      </w:r>
      <w:r>
        <w:rPr>
          <w:rFonts w:hint="eastAsia" w:ascii="仿宋" w:hAnsi="仿宋" w:eastAsia="仿宋"/>
          <w:snapToGrid w:val="0"/>
          <w:color w:val="auto"/>
          <w:sz w:val="24"/>
          <w:szCs w:val="24"/>
          <w:lang w:eastAsia="zh-CN"/>
        </w:rPr>
        <w:t>分，同一集体、同类称号重复获奖，按最高级别计分；</w:t>
      </w:r>
    </w:p>
    <w:p w14:paraId="767C2CB5">
      <w:pPr>
        <w:pStyle w:val="7"/>
        <w:numPr>
          <w:ilvl w:val="0"/>
          <w:numId w:val="1"/>
        </w:numPr>
        <w:spacing w:line="360" w:lineRule="auto"/>
        <w:ind w:firstLine="480" w:firstLineChars="200"/>
        <w:rPr>
          <w:rFonts w:ascii="仿宋" w:hAnsi="仿宋" w:eastAsia="仿宋"/>
          <w:snapToGrid w:val="0"/>
          <w:color w:val="auto"/>
          <w:sz w:val="24"/>
          <w:szCs w:val="24"/>
          <w:lang w:eastAsia="zh-CN"/>
        </w:rPr>
      </w:pPr>
      <w:r>
        <w:rPr>
          <w:rFonts w:hint="eastAsia" w:ascii="仿宋" w:hAnsi="仿宋" w:eastAsia="仿宋"/>
          <w:snapToGrid w:val="0"/>
          <w:color w:val="auto"/>
          <w:sz w:val="24"/>
          <w:szCs w:val="24"/>
          <w:lang w:eastAsia="zh-CN"/>
        </w:rPr>
        <w:t>在道德素养方面有突出表现者，诸如关心集体，助人为乐等反映大学生高尚品质的行为，受学校、院（系）通报表扬者，酌情加0.</w:t>
      </w:r>
      <w:r>
        <w:rPr>
          <w:rFonts w:ascii="仿宋" w:hAnsi="仿宋" w:eastAsia="仿宋"/>
          <w:snapToGrid w:val="0"/>
          <w:color w:val="auto"/>
          <w:sz w:val="24"/>
          <w:szCs w:val="24"/>
          <w:lang w:eastAsia="zh-CN"/>
        </w:rPr>
        <w:t>5</w:t>
      </w:r>
      <w:r>
        <w:rPr>
          <w:rFonts w:hint="eastAsia" w:ascii="仿宋" w:hAnsi="仿宋" w:eastAsia="仿宋"/>
          <w:snapToGrid w:val="0"/>
          <w:color w:val="auto"/>
          <w:sz w:val="24"/>
          <w:szCs w:val="24"/>
          <w:lang w:eastAsia="zh-CN"/>
        </w:rPr>
        <w:t>分；</w:t>
      </w:r>
    </w:p>
    <w:p w14:paraId="2720A420">
      <w:pPr>
        <w:pStyle w:val="7"/>
        <w:numPr>
          <w:ilvl w:val="0"/>
          <w:numId w:val="1"/>
        </w:numPr>
        <w:spacing w:line="360" w:lineRule="auto"/>
        <w:ind w:firstLine="480" w:firstLineChars="200"/>
        <w:rPr>
          <w:rFonts w:ascii="仿宋" w:hAnsi="仿宋" w:eastAsia="仿宋"/>
          <w:snapToGrid w:val="0"/>
          <w:color w:val="auto"/>
          <w:sz w:val="24"/>
          <w:szCs w:val="24"/>
          <w:lang w:eastAsia="zh-CN"/>
        </w:rPr>
      </w:pPr>
      <w:r>
        <w:rPr>
          <w:rFonts w:hint="eastAsia" w:ascii="仿宋" w:hAnsi="仿宋" w:eastAsia="仿宋"/>
          <w:snapToGrid w:val="0"/>
          <w:color w:val="auto"/>
          <w:sz w:val="24"/>
          <w:szCs w:val="24"/>
          <w:lang w:eastAsia="zh-CN"/>
        </w:rPr>
        <w:t>寝室荣获校“文明寝室”、“标兵寝室”等荣誉称号的，其成员加0.3分；</w:t>
      </w:r>
    </w:p>
    <w:p w14:paraId="58BBC36C">
      <w:pPr>
        <w:pStyle w:val="7"/>
        <w:numPr>
          <w:ilvl w:val="0"/>
          <w:numId w:val="2"/>
        </w:numPr>
        <w:spacing w:line="360" w:lineRule="auto"/>
        <w:ind w:firstLine="480" w:firstLineChars="200"/>
        <w:rPr>
          <w:rFonts w:ascii="仿宋" w:hAnsi="仿宋" w:eastAsia="仿宋"/>
          <w:snapToGrid w:val="0"/>
          <w:color w:val="auto"/>
          <w:sz w:val="24"/>
          <w:szCs w:val="24"/>
          <w:lang w:eastAsia="zh-CN"/>
        </w:rPr>
      </w:pPr>
      <w:r>
        <w:rPr>
          <w:rFonts w:hint="eastAsia" w:ascii="仿宋" w:hAnsi="仿宋" w:eastAsia="仿宋"/>
          <w:snapToGrid w:val="0"/>
          <w:color w:val="auto"/>
          <w:sz w:val="24"/>
          <w:szCs w:val="24"/>
          <w:lang w:eastAsia="zh-CN"/>
        </w:rPr>
        <w:t>在教室美化评比中获校、院、系奖项的班级，其成员加</w:t>
      </w:r>
      <w:r>
        <w:rPr>
          <w:rFonts w:ascii="仿宋" w:hAnsi="仿宋" w:eastAsia="仿宋"/>
          <w:snapToGrid w:val="0"/>
          <w:color w:val="auto"/>
          <w:sz w:val="24"/>
          <w:szCs w:val="24"/>
          <w:lang w:eastAsia="zh-CN"/>
        </w:rPr>
        <w:t>0.3</w:t>
      </w:r>
      <w:r>
        <w:rPr>
          <w:rFonts w:hint="eastAsia" w:ascii="仿宋" w:hAnsi="仿宋" w:eastAsia="仿宋"/>
          <w:snapToGrid w:val="0"/>
          <w:color w:val="auto"/>
          <w:sz w:val="24"/>
          <w:szCs w:val="24"/>
          <w:lang w:eastAsia="zh-CN"/>
        </w:rPr>
        <w:t>分。</w:t>
      </w:r>
    </w:p>
    <w:p w14:paraId="7B0048DA">
      <w:pPr>
        <w:pStyle w:val="7"/>
        <w:numPr>
          <w:ilvl w:val="0"/>
          <w:numId w:val="2"/>
        </w:numPr>
        <w:spacing w:line="360" w:lineRule="auto"/>
        <w:ind w:firstLine="480" w:firstLineChars="200"/>
        <w:rPr>
          <w:rFonts w:ascii="仿宋" w:hAnsi="仿宋" w:eastAsia="仿宋"/>
          <w:snapToGrid w:val="0"/>
          <w:color w:val="auto"/>
          <w:sz w:val="24"/>
          <w:szCs w:val="24"/>
          <w:lang w:eastAsia="zh-CN"/>
        </w:rPr>
      </w:pPr>
      <w:r>
        <w:rPr>
          <w:rFonts w:hint="eastAsia" w:ascii="仿宋" w:hAnsi="仿宋" w:eastAsia="仿宋"/>
          <w:snapToGrid w:val="0"/>
          <w:color w:val="auto"/>
          <w:sz w:val="24"/>
          <w:szCs w:val="24"/>
          <w:lang w:eastAsia="zh-CN"/>
        </w:rPr>
        <w:t>在校园美化劳动或公共卫生劳动中有突出贡献者，酌情加</w:t>
      </w:r>
      <w:r>
        <w:rPr>
          <w:rFonts w:ascii="仿宋" w:hAnsi="仿宋" w:eastAsia="仿宋"/>
          <w:snapToGrid w:val="0"/>
          <w:color w:val="auto"/>
          <w:sz w:val="24"/>
          <w:szCs w:val="24"/>
          <w:lang w:eastAsia="zh-CN"/>
        </w:rPr>
        <w:t>0.5</w:t>
      </w:r>
      <w:r>
        <w:rPr>
          <w:rFonts w:hint="eastAsia" w:ascii="仿宋" w:hAnsi="仿宋" w:eastAsia="仿宋"/>
          <w:snapToGrid w:val="0"/>
          <w:color w:val="auto"/>
          <w:sz w:val="24"/>
          <w:szCs w:val="24"/>
          <w:lang w:eastAsia="zh-CN"/>
        </w:rPr>
        <w:t>分。</w:t>
      </w:r>
    </w:p>
    <w:p w14:paraId="5341C8BF">
      <w:pPr>
        <w:pStyle w:val="8"/>
        <w:numPr>
          <w:ilvl w:val="0"/>
          <w:numId w:val="3"/>
        </w:numPr>
        <w:spacing w:line="360" w:lineRule="auto"/>
        <w:ind w:firstLineChars="0"/>
        <w:rPr>
          <w:rFonts w:ascii="仿宋" w:hAnsi="仿宋" w:eastAsia="仿宋"/>
          <w:snapToGrid w:val="0"/>
          <w:color w:val="auto"/>
          <w:kern w:val="0"/>
          <w:sz w:val="24"/>
        </w:rPr>
      </w:pPr>
      <w:r>
        <w:rPr>
          <w:rFonts w:hint="eastAsia" w:ascii="仿宋" w:hAnsi="仿宋" w:eastAsia="仿宋"/>
          <w:snapToGrid w:val="0"/>
          <w:color w:val="auto"/>
          <w:kern w:val="0"/>
          <w:sz w:val="24"/>
        </w:rPr>
        <w:t>减分</w:t>
      </w:r>
    </w:p>
    <w:p w14:paraId="6F8AF2D7">
      <w:pPr>
        <w:pStyle w:val="7"/>
        <w:widowControl w:val="0"/>
        <w:numPr>
          <w:ilvl w:val="0"/>
          <w:numId w:val="4"/>
        </w:numPr>
        <w:spacing w:after="0" w:line="360" w:lineRule="auto"/>
        <w:ind w:left="62" w:firstLine="645" w:firstLineChars="269"/>
        <w:jc w:val="both"/>
        <w:rPr>
          <w:rFonts w:ascii="仿宋" w:hAnsi="仿宋" w:eastAsia="仿宋"/>
          <w:snapToGrid w:val="0"/>
          <w:color w:val="auto"/>
          <w:sz w:val="24"/>
          <w:lang w:eastAsia="zh-CN"/>
        </w:rPr>
      </w:pPr>
      <w:r>
        <w:rPr>
          <w:rFonts w:hint="eastAsia" w:ascii="仿宋" w:hAnsi="仿宋" w:eastAsia="仿宋"/>
          <w:snapToGrid w:val="0"/>
          <w:color w:val="auto"/>
          <w:sz w:val="24"/>
          <w:lang w:eastAsia="zh-CN"/>
        </w:rPr>
        <w:t>在公共场所、网络等公共空间做出有违社会公德、损害民族团结言行、造成恶劣影响的，一经查实酌情减0</w:t>
      </w:r>
      <w:r>
        <w:rPr>
          <w:rFonts w:ascii="仿宋" w:hAnsi="仿宋" w:eastAsia="仿宋"/>
          <w:snapToGrid w:val="0"/>
          <w:color w:val="auto"/>
          <w:sz w:val="24"/>
          <w:lang w:eastAsia="zh-CN"/>
        </w:rPr>
        <w:t>.5</w:t>
      </w:r>
      <w:r>
        <w:rPr>
          <w:rFonts w:hint="eastAsia" w:ascii="仿宋" w:hAnsi="仿宋" w:eastAsia="仿宋"/>
          <w:snapToGrid w:val="0"/>
          <w:color w:val="auto"/>
          <w:sz w:val="24"/>
          <w:lang w:eastAsia="zh-CN"/>
        </w:rPr>
        <w:t>-</w:t>
      </w:r>
      <w:r>
        <w:rPr>
          <w:rFonts w:ascii="仿宋" w:hAnsi="仿宋" w:eastAsia="仿宋"/>
          <w:snapToGrid w:val="0"/>
          <w:color w:val="auto"/>
          <w:sz w:val="24"/>
          <w:lang w:eastAsia="zh-CN"/>
        </w:rPr>
        <w:t>5</w:t>
      </w:r>
      <w:r>
        <w:rPr>
          <w:rFonts w:hint="eastAsia" w:ascii="仿宋" w:hAnsi="仿宋" w:eastAsia="仿宋"/>
          <w:snapToGrid w:val="0"/>
          <w:color w:val="auto"/>
          <w:sz w:val="24"/>
          <w:lang w:eastAsia="zh-CN"/>
        </w:rPr>
        <w:t>分；</w:t>
      </w:r>
    </w:p>
    <w:p w14:paraId="33713D99">
      <w:pPr>
        <w:pStyle w:val="7"/>
        <w:widowControl w:val="0"/>
        <w:numPr>
          <w:ilvl w:val="0"/>
          <w:numId w:val="4"/>
        </w:numPr>
        <w:spacing w:after="0" w:line="360" w:lineRule="auto"/>
        <w:ind w:left="62" w:firstLine="645" w:firstLineChars="269"/>
        <w:jc w:val="both"/>
        <w:rPr>
          <w:rFonts w:ascii="仿宋" w:hAnsi="仿宋" w:eastAsia="仿宋"/>
          <w:snapToGrid w:val="0"/>
          <w:color w:val="auto"/>
          <w:sz w:val="24"/>
          <w:lang w:eastAsia="zh-CN"/>
        </w:rPr>
      </w:pPr>
      <w:r>
        <w:rPr>
          <w:rFonts w:hint="eastAsia" w:ascii="仿宋" w:hAnsi="仿宋" w:eastAsia="仿宋"/>
          <w:snapToGrid w:val="0"/>
          <w:color w:val="auto"/>
          <w:sz w:val="24"/>
          <w:lang w:eastAsia="zh-CN"/>
        </w:rPr>
        <w:t>未经批准，无故缺席政治学习、组织生活等集体活动者，每次减</w:t>
      </w:r>
      <w:r>
        <w:rPr>
          <w:rFonts w:hint="eastAsia" w:ascii="仿宋" w:hAnsi="仿宋" w:eastAsia="仿宋"/>
          <w:snapToGrid w:val="0"/>
          <w:color w:val="auto"/>
          <w:sz w:val="24"/>
          <w:lang w:val="en-US" w:eastAsia="zh-CN"/>
        </w:rPr>
        <w:t>0.5-</w:t>
      </w:r>
      <w:r>
        <w:rPr>
          <w:rFonts w:hint="eastAsia" w:ascii="仿宋" w:hAnsi="仿宋" w:eastAsia="仿宋"/>
          <w:snapToGrid w:val="0"/>
          <w:color w:val="auto"/>
          <w:sz w:val="24"/>
          <w:lang w:eastAsia="zh-CN"/>
        </w:rPr>
        <w:t>1分；</w:t>
      </w:r>
    </w:p>
    <w:p w14:paraId="5423B79B">
      <w:pPr>
        <w:pStyle w:val="7"/>
        <w:widowControl w:val="0"/>
        <w:numPr>
          <w:ilvl w:val="0"/>
          <w:numId w:val="5"/>
        </w:numPr>
        <w:spacing w:after="0" w:line="360" w:lineRule="auto"/>
        <w:ind w:left="62" w:firstLine="645" w:firstLineChars="269"/>
        <w:contextualSpacing w:val="0"/>
        <w:jc w:val="both"/>
        <w:rPr>
          <w:rFonts w:ascii="仿宋" w:hAnsi="仿宋" w:eastAsia="仿宋"/>
          <w:snapToGrid w:val="0"/>
          <w:color w:val="auto"/>
          <w:sz w:val="24"/>
          <w:lang w:eastAsia="zh-CN"/>
        </w:rPr>
      </w:pPr>
      <w:r>
        <w:rPr>
          <w:rFonts w:hint="eastAsia" w:ascii="仿宋" w:hAnsi="仿宋" w:eastAsia="仿宋"/>
          <w:snapToGrid w:val="0"/>
          <w:sz w:val="24"/>
          <w:lang w:val="en-US" w:eastAsia="zh-CN"/>
        </w:rPr>
        <w:t>在集体学习活动中消极对待，未达到学习要求，视情况酌情减分；</w:t>
      </w:r>
    </w:p>
    <w:p w14:paraId="0BC0C7E4">
      <w:pPr>
        <w:pStyle w:val="7"/>
        <w:widowControl w:val="0"/>
        <w:numPr>
          <w:ilvl w:val="0"/>
          <w:numId w:val="4"/>
        </w:numPr>
        <w:spacing w:after="0" w:line="360" w:lineRule="auto"/>
        <w:ind w:left="62" w:firstLine="645" w:firstLineChars="269"/>
        <w:jc w:val="both"/>
        <w:rPr>
          <w:rFonts w:ascii="仿宋" w:hAnsi="仿宋" w:eastAsia="仿宋"/>
          <w:snapToGrid w:val="0"/>
          <w:color w:val="auto"/>
          <w:sz w:val="24"/>
          <w:lang w:eastAsia="zh-CN"/>
        </w:rPr>
      </w:pPr>
      <w:r>
        <w:rPr>
          <w:rFonts w:hint="eastAsia" w:ascii="仿宋" w:hAnsi="仿宋" w:eastAsia="仿宋"/>
          <w:snapToGrid w:val="0"/>
          <w:color w:val="auto"/>
          <w:sz w:val="24"/>
          <w:lang w:eastAsia="zh-CN"/>
        </w:rPr>
        <w:t>在家庭经济困难认定、奖助学金申请等过程中，弄虚作假、有不诚信行为者，减1分；</w:t>
      </w:r>
    </w:p>
    <w:p w14:paraId="4BBCC363">
      <w:pPr>
        <w:pStyle w:val="7"/>
        <w:widowControl w:val="0"/>
        <w:numPr>
          <w:ilvl w:val="0"/>
          <w:numId w:val="4"/>
        </w:numPr>
        <w:spacing w:after="0" w:line="360" w:lineRule="auto"/>
        <w:ind w:left="62" w:firstLine="645" w:firstLineChars="269"/>
        <w:jc w:val="both"/>
        <w:rPr>
          <w:rFonts w:ascii="仿宋" w:hAnsi="仿宋" w:eastAsia="仿宋"/>
          <w:snapToGrid w:val="0"/>
          <w:color w:val="auto"/>
          <w:sz w:val="24"/>
          <w:lang w:eastAsia="zh-CN"/>
        </w:rPr>
      </w:pPr>
      <w:r>
        <w:rPr>
          <w:rFonts w:hint="eastAsia" w:ascii="仿宋" w:hAnsi="仿宋" w:eastAsia="仿宋"/>
          <w:snapToGrid w:val="0"/>
          <w:color w:val="auto"/>
          <w:sz w:val="24"/>
          <w:lang w:eastAsia="zh-CN"/>
        </w:rPr>
        <w:t>在校参加宗教活动者，减5分；</w:t>
      </w:r>
    </w:p>
    <w:p w14:paraId="58FF36DF">
      <w:pPr>
        <w:pStyle w:val="7"/>
        <w:widowControl w:val="0"/>
        <w:numPr>
          <w:ilvl w:val="0"/>
          <w:numId w:val="5"/>
        </w:numPr>
        <w:spacing w:after="0" w:line="360" w:lineRule="auto"/>
        <w:ind w:left="62" w:firstLine="645" w:firstLineChars="269"/>
        <w:contextualSpacing w:val="0"/>
        <w:jc w:val="both"/>
        <w:rPr>
          <w:rFonts w:ascii="仿宋" w:hAnsi="仿宋" w:eastAsia="仿宋"/>
          <w:snapToGrid w:val="0"/>
          <w:color w:val="auto"/>
          <w:sz w:val="24"/>
          <w:lang w:eastAsia="zh-CN"/>
        </w:rPr>
      </w:pPr>
      <w:r>
        <w:rPr>
          <w:rFonts w:hint="eastAsia" w:ascii="仿宋" w:hAnsi="仿宋" w:eastAsia="仿宋"/>
          <w:i w:val="0"/>
          <w:iCs w:val="0"/>
          <w:snapToGrid w:val="0"/>
          <w:sz w:val="24"/>
          <w:lang w:eastAsia="zh-CN"/>
        </w:rPr>
        <w:t>在健康跑中存在作弊行为，</w:t>
      </w:r>
      <w:r>
        <w:rPr>
          <w:rFonts w:hint="eastAsia" w:ascii="仿宋" w:hAnsi="仿宋" w:eastAsia="仿宋"/>
          <w:i w:val="0"/>
          <w:iCs w:val="0"/>
          <w:snapToGrid w:val="0"/>
          <w:sz w:val="24"/>
          <w:lang w:val="en-US" w:eastAsia="zh-CN"/>
        </w:rPr>
        <w:t>或为其他同学作弊提供帮助，</w:t>
      </w:r>
      <w:r>
        <w:rPr>
          <w:rFonts w:hint="eastAsia" w:ascii="仿宋" w:hAnsi="仿宋" w:eastAsia="仿宋"/>
          <w:i w:val="0"/>
          <w:iCs w:val="0"/>
          <w:snapToGrid w:val="0"/>
          <w:sz w:val="24"/>
          <w:lang w:eastAsia="zh-CN"/>
        </w:rPr>
        <w:t>例如骑电动车、骑自行车摇手机、代跑和代签等一切作弊行为，次数&lt;3次的一经査实减0.5分，3</w:t>
      </w:r>
      <w:r>
        <w:rPr>
          <w:rFonts w:hint="eastAsia" w:ascii="仿宋" w:hAnsi="仿宋" w:eastAsia="仿宋"/>
          <w:i w:val="0"/>
          <w:iCs w:val="0"/>
          <w:snapToGrid w:val="0"/>
          <w:sz w:val="24"/>
          <w:lang w:val="en-US" w:eastAsia="zh-CN"/>
        </w:rPr>
        <w:t>次</w:t>
      </w:r>
      <w:r>
        <w:rPr>
          <w:rFonts w:hint="eastAsia" w:ascii="仿宋" w:hAnsi="仿宋" w:eastAsia="仿宋"/>
          <w:i w:val="0"/>
          <w:iCs w:val="0"/>
          <w:snapToGrid w:val="0"/>
          <w:sz w:val="24"/>
          <w:lang w:eastAsia="zh-CN"/>
        </w:rPr>
        <w:t>&lt;次数&lt;5次的一经查实减1分，次数&gt;5次一经查实取消评选资格;在体测中存在</w:t>
      </w:r>
      <w:r>
        <w:rPr>
          <w:rFonts w:hint="eastAsia" w:ascii="仿宋" w:hAnsi="仿宋" w:eastAsia="仿宋"/>
          <w:i w:val="0"/>
          <w:iCs w:val="0"/>
          <w:snapToGrid w:val="0"/>
          <w:sz w:val="24"/>
          <w:lang w:val="en-US" w:eastAsia="zh-CN"/>
        </w:rPr>
        <w:t>作弊</w:t>
      </w:r>
      <w:r>
        <w:rPr>
          <w:rFonts w:hint="eastAsia" w:ascii="仿宋" w:hAnsi="仿宋" w:eastAsia="仿宋"/>
          <w:i w:val="0"/>
          <w:iCs w:val="0"/>
          <w:snapToGrid w:val="0"/>
          <w:sz w:val="24"/>
          <w:lang w:eastAsia="zh-CN"/>
        </w:rPr>
        <w:t>行为的，经查实取消评选资格。</w:t>
      </w:r>
    </w:p>
    <w:p w14:paraId="1E3921B6">
      <w:pPr>
        <w:pStyle w:val="7"/>
        <w:widowControl w:val="0"/>
        <w:numPr>
          <w:ilvl w:val="0"/>
          <w:numId w:val="4"/>
        </w:numPr>
        <w:spacing w:after="0" w:line="360" w:lineRule="auto"/>
        <w:ind w:left="62" w:firstLine="645" w:firstLineChars="269"/>
        <w:jc w:val="both"/>
        <w:rPr>
          <w:rFonts w:ascii="仿宋" w:hAnsi="仿宋" w:eastAsia="仿宋"/>
          <w:snapToGrid w:val="0"/>
          <w:color w:val="auto"/>
          <w:sz w:val="24"/>
          <w:lang w:eastAsia="zh-CN"/>
        </w:rPr>
      </w:pPr>
      <w:r>
        <w:rPr>
          <w:rFonts w:hint="eastAsia" w:ascii="仿宋" w:hAnsi="仿宋" w:eastAsia="仿宋"/>
          <w:snapToGrid w:val="0"/>
          <w:color w:val="auto"/>
          <w:sz w:val="24"/>
          <w:lang w:val="en-US" w:eastAsia="zh-CN"/>
        </w:rPr>
        <w:t>学院</w:t>
      </w:r>
      <w:r>
        <w:rPr>
          <w:rFonts w:hint="eastAsia" w:ascii="仿宋" w:hAnsi="仿宋" w:eastAsia="仿宋"/>
          <w:snapToGrid w:val="0"/>
          <w:color w:val="auto"/>
          <w:sz w:val="24"/>
          <w:lang w:eastAsia="zh-CN"/>
        </w:rPr>
        <w:t>认定的其他不符合大学生文明规范的行为，酌情减0.5-5分。</w:t>
      </w:r>
    </w:p>
    <w:p w14:paraId="236F797F">
      <w:pPr>
        <w:pStyle w:val="7"/>
        <w:widowControl w:val="0"/>
        <w:spacing w:after="0" w:line="360" w:lineRule="auto"/>
        <w:ind w:left="0"/>
        <w:jc w:val="both"/>
        <w:rPr>
          <w:rFonts w:ascii="仿宋" w:hAnsi="仿宋" w:eastAsia="仿宋" w:cs="宋体"/>
          <w:b/>
          <w:snapToGrid w:val="0"/>
          <w:color w:val="auto"/>
          <w:sz w:val="24"/>
          <w:lang w:eastAsia="zh-CN"/>
        </w:rPr>
      </w:pPr>
    </w:p>
    <w:p w14:paraId="03C81F72">
      <w:pPr>
        <w:pStyle w:val="7"/>
        <w:widowControl w:val="0"/>
        <w:spacing w:after="0" w:line="360" w:lineRule="auto"/>
        <w:ind w:left="0"/>
        <w:jc w:val="both"/>
        <w:rPr>
          <w:rFonts w:ascii="仿宋" w:hAnsi="仿宋" w:eastAsia="仿宋"/>
          <w:snapToGrid w:val="0"/>
          <w:color w:val="auto"/>
          <w:sz w:val="24"/>
          <w:lang w:eastAsia="zh-CN"/>
        </w:rPr>
      </w:pPr>
      <w:r>
        <w:rPr>
          <w:rFonts w:hint="eastAsia" w:ascii="仿宋" w:hAnsi="仿宋" w:eastAsia="仿宋"/>
          <w:b/>
          <w:color w:val="auto"/>
          <w:sz w:val="24"/>
          <w:lang w:eastAsia="zh-CN"/>
        </w:rPr>
        <w:t>（二）</w:t>
      </w:r>
      <w:r>
        <w:rPr>
          <w:rFonts w:hint="eastAsia" w:ascii="仿宋" w:hAnsi="仿宋" w:eastAsia="仿宋" w:cs="宋体"/>
          <w:b/>
          <w:snapToGrid w:val="0"/>
          <w:color w:val="auto"/>
          <w:sz w:val="24"/>
          <w:lang w:eastAsia="zh-CN"/>
        </w:rPr>
        <w:t>集体观念和组织纪律</w:t>
      </w:r>
    </w:p>
    <w:p w14:paraId="1AB4480E">
      <w:pPr>
        <w:spacing w:line="360" w:lineRule="auto"/>
        <w:ind w:firstLine="480" w:firstLineChars="200"/>
        <w:rPr>
          <w:rFonts w:ascii="仿宋" w:hAnsi="仿宋" w:eastAsia="仿宋" w:cs="宋体"/>
          <w:snapToGrid w:val="0"/>
          <w:color w:val="auto"/>
          <w:kern w:val="0"/>
          <w:sz w:val="24"/>
        </w:rPr>
      </w:pPr>
      <w:r>
        <w:rPr>
          <w:rFonts w:hint="eastAsia" w:ascii="仿宋" w:hAnsi="仿宋" w:eastAsia="仿宋" w:cs="宋体"/>
          <w:snapToGrid w:val="0"/>
          <w:color w:val="auto"/>
          <w:kern w:val="0"/>
          <w:sz w:val="24"/>
        </w:rPr>
        <w:t>总分4分，基本分（即无减分）为3分。在基本分的基础上进行加分或减分，加分上限为</w:t>
      </w:r>
      <w:r>
        <w:rPr>
          <w:rFonts w:ascii="仿宋" w:hAnsi="仿宋" w:eastAsia="仿宋" w:cs="宋体"/>
          <w:snapToGrid w:val="0"/>
          <w:color w:val="auto"/>
          <w:kern w:val="0"/>
          <w:sz w:val="24"/>
        </w:rPr>
        <w:t>1</w:t>
      </w:r>
      <w:r>
        <w:rPr>
          <w:rFonts w:hint="eastAsia" w:ascii="仿宋" w:hAnsi="仿宋" w:eastAsia="仿宋" w:cs="宋体"/>
          <w:snapToGrid w:val="0"/>
          <w:color w:val="auto"/>
          <w:kern w:val="0"/>
          <w:sz w:val="24"/>
        </w:rPr>
        <w:t>分。</w:t>
      </w:r>
    </w:p>
    <w:p w14:paraId="18F233CA">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（1）加分</w:t>
      </w:r>
    </w:p>
    <w:p w14:paraId="24F77BB0">
      <w:pPr>
        <w:pStyle w:val="7"/>
        <w:numPr>
          <w:ilvl w:val="0"/>
          <w:numId w:val="6"/>
        </w:numPr>
        <w:spacing w:line="360" w:lineRule="auto"/>
        <w:ind w:firstLine="425"/>
        <w:jc w:val="both"/>
        <w:rPr>
          <w:rFonts w:ascii="仿宋" w:hAnsi="仿宋" w:eastAsia="仿宋"/>
          <w:snapToGrid w:val="0"/>
          <w:color w:val="auto"/>
          <w:sz w:val="24"/>
          <w:lang w:eastAsia="zh-CN"/>
        </w:rPr>
      </w:pPr>
      <w:r>
        <w:rPr>
          <w:rFonts w:hint="eastAsia" w:ascii="仿宋" w:hAnsi="仿宋" w:eastAsia="仿宋"/>
          <w:snapToGrid w:val="0"/>
          <w:color w:val="auto"/>
          <w:sz w:val="24"/>
          <w:lang w:eastAsia="zh-CN"/>
        </w:rPr>
        <w:t>维护集体利益，热心参与各类集体活动者，为集体活动做出较大贡献者，为集体获得各类竞赛荣誉做出较大努力者，获得校级及以上比赛一等奖加1分，二等奖加0.</w:t>
      </w:r>
      <w:r>
        <w:rPr>
          <w:rFonts w:ascii="仿宋" w:hAnsi="仿宋" w:eastAsia="仿宋"/>
          <w:snapToGrid w:val="0"/>
          <w:color w:val="auto"/>
          <w:sz w:val="24"/>
          <w:lang w:eastAsia="zh-CN"/>
        </w:rPr>
        <w:t>5</w:t>
      </w:r>
      <w:r>
        <w:rPr>
          <w:rFonts w:hint="eastAsia" w:ascii="仿宋" w:hAnsi="仿宋" w:eastAsia="仿宋"/>
          <w:snapToGrid w:val="0"/>
          <w:color w:val="auto"/>
          <w:sz w:val="24"/>
          <w:lang w:eastAsia="zh-CN"/>
        </w:rPr>
        <w:t>分，三等奖加0.</w:t>
      </w:r>
      <w:r>
        <w:rPr>
          <w:rFonts w:ascii="仿宋" w:hAnsi="仿宋" w:eastAsia="仿宋"/>
          <w:snapToGrid w:val="0"/>
          <w:color w:val="auto"/>
          <w:sz w:val="24"/>
          <w:lang w:eastAsia="zh-CN"/>
        </w:rPr>
        <w:t>3</w:t>
      </w:r>
      <w:r>
        <w:rPr>
          <w:rFonts w:hint="eastAsia" w:ascii="仿宋" w:hAnsi="仿宋" w:eastAsia="仿宋"/>
          <w:snapToGrid w:val="0"/>
          <w:color w:val="auto"/>
          <w:sz w:val="24"/>
          <w:lang w:eastAsia="zh-CN"/>
        </w:rPr>
        <w:t>分，</w:t>
      </w:r>
      <w:r>
        <w:rPr>
          <w:rFonts w:hint="eastAsia" w:ascii="仿宋" w:hAnsi="仿宋" w:eastAsia="仿宋"/>
          <w:snapToGrid w:val="0"/>
          <w:color w:val="auto"/>
          <w:sz w:val="24"/>
          <w:lang w:val="en-US" w:eastAsia="zh-CN"/>
        </w:rPr>
        <w:t>优秀奖加0.1分，</w:t>
      </w:r>
      <w:r>
        <w:rPr>
          <w:rFonts w:hint="eastAsia" w:ascii="仿宋" w:hAnsi="仿宋" w:eastAsia="仿宋"/>
          <w:snapToGrid w:val="0"/>
          <w:color w:val="auto"/>
          <w:sz w:val="24"/>
          <w:lang w:eastAsia="zh-CN"/>
        </w:rPr>
        <w:t>其余不加分；</w:t>
      </w:r>
    </w:p>
    <w:p w14:paraId="5479481E">
      <w:pPr>
        <w:pStyle w:val="7"/>
        <w:numPr>
          <w:ilvl w:val="0"/>
          <w:numId w:val="7"/>
        </w:numPr>
        <w:spacing w:line="360" w:lineRule="auto"/>
        <w:ind w:firstLine="425"/>
        <w:rPr>
          <w:rFonts w:ascii="仿宋" w:hAnsi="仿宋" w:eastAsia="仿宋"/>
          <w:snapToGrid w:val="0"/>
          <w:color w:val="auto"/>
          <w:sz w:val="24"/>
          <w:lang w:eastAsia="zh-CN"/>
        </w:rPr>
      </w:pPr>
      <w:r>
        <w:rPr>
          <w:rFonts w:hint="eastAsia" w:ascii="仿宋" w:hAnsi="仿宋" w:eastAsia="仿宋"/>
          <w:snapToGrid w:val="0"/>
          <w:color w:val="auto"/>
          <w:sz w:val="24"/>
          <w:lang w:eastAsia="zh-CN"/>
        </w:rPr>
        <w:t>认真参加校运动会学院方阵训练及展示，加0.1分。</w:t>
      </w:r>
    </w:p>
    <w:p w14:paraId="6CBCBFA2">
      <w:pPr>
        <w:pStyle w:val="7"/>
        <w:numPr>
          <w:ilvl w:val="0"/>
          <w:numId w:val="7"/>
        </w:numPr>
        <w:spacing w:line="360" w:lineRule="auto"/>
        <w:ind w:firstLine="425"/>
        <w:rPr>
          <w:rFonts w:ascii="仿宋" w:hAnsi="仿宋" w:eastAsia="仿宋"/>
          <w:snapToGrid w:val="0"/>
          <w:color w:val="auto"/>
          <w:sz w:val="24"/>
          <w:lang w:eastAsia="zh-CN"/>
        </w:rPr>
      </w:pPr>
      <w:r>
        <w:rPr>
          <w:rFonts w:hint="eastAsia" w:ascii="仿宋" w:hAnsi="仿宋" w:eastAsia="仿宋"/>
          <w:snapToGrid w:val="0"/>
          <w:color w:val="auto"/>
          <w:sz w:val="24"/>
          <w:lang w:eastAsia="zh-CN"/>
        </w:rPr>
        <w:t>参加球队训练上限为0.5 分，具体分数根据队员训练情况予以加分。</w:t>
      </w:r>
    </w:p>
    <w:p w14:paraId="2E1239C0">
      <w:pPr>
        <w:pStyle w:val="7"/>
        <w:numPr>
          <w:ilvl w:val="0"/>
          <w:numId w:val="7"/>
        </w:numPr>
        <w:spacing w:line="360" w:lineRule="auto"/>
        <w:ind w:firstLine="425"/>
        <w:rPr>
          <w:rFonts w:ascii="仿宋" w:hAnsi="仿宋" w:eastAsia="仿宋"/>
          <w:snapToGrid w:val="0"/>
          <w:color w:val="auto"/>
          <w:sz w:val="24"/>
          <w:lang w:eastAsia="zh-CN"/>
        </w:rPr>
      </w:pPr>
      <w:r>
        <w:rPr>
          <w:rFonts w:hint="eastAsia" w:ascii="仿宋" w:hAnsi="仿宋" w:eastAsia="仿宋"/>
          <w:snapToGrid w:val="0"/>
          <w:color w:val="auto"/>
          <w:sz w:val="24"/>
          <w:lang w:eastAsia="zh-CN"/>
        </w:rPr>
        <w:t>参加辩论队上限0.5 分，具体分数根据队员训练情况和参加比赛情况予以加分。</w:t>
      </w:r>
    </w:p>
    <w:p w14:paraId="4F22E78B">
      <w:pPr>
        <w:pStyle w:val="7"/>
        <w:numPr>
          <w:ilvl w:val="0"/>
          <w:numId w:val="7"/>
        </w:numPr>
        <w:spacing w:line="360" w:lineRule="auto"/>
        <w:ind w:firstLine="425"/>
        <w:rPr>
          <w:rFonts w:ascii="仿宋" w:hAnsi="仿宋" w:eastAsia="仿宋"/>
          <w:snapToGrid w:val="0"/>
          <w:color w:val="auto"/>
          <w:sz w:val="24"/>
          <w:lang w:eastAsia="zh-CN"/>
        </w:rPr>
      </w:pPr>
      <w:r>
        <w:rPr>
          <w:rFonts w:hint="eastAsia" w:ascii="仿宋" w:hAnsi="仿宋" w:eastAsia="仿宋"/>
          <w:snapToGrid w:val="0"/>
          <w:color w:val="auto"/>
          <w:sz w:val="24"/>
          <w:lang w:eastAsia="zh-CN"/>
        </w:rPr>
        <w:t>参加由学院统一组织的指定讲座，</w:t>
      </w:r>
      <w:r>
        <w:rPr>
          <w:rFonts w:hint="eastAsia" w:ascii="仿宋" w:hAnsi="仿宋" w:eastAsia="仿宋"/>
          <w:snapToGrid w:val="0"/>
          <w:color w:val="auto"/>
          <w:sz w:val="24"/>
          <w:lang w:val="en-US" w:eastAsia="zh-CN"/>
        </w:rPr>
        <w:t>根据讲座通知的要求</w:t>
      </w:r>
      <w:r>
        <w:rPr>
          <w:rFonts w:hint="eastAsia" w:ascii="仿宋" w:hAnsi="仿宋" w:eastAsia="仿宋"/>
          <w:snapToGrid w:val="0"/>
          <w:color w:val="auto"/>
          <w:sz w:val="24"/>
          <w:lang w:eastAsia="zh-CN"/>
        </w:rPr>
        <w:t>单次加0.05分，加分上限为0.3 分。</w:t>
      </w:r>
    </w:p>
    <w:p w14:paraId="7AC89B93">
      <w:pPr>
        <w:pStyle w:val="7"/>
        <w:numPr>
          <w:ilvl w:val="0"/>
          <w:numId w:val="7"/>
        </w:numPr>
        <w:spacing w:line="360" w:lineRule="auto"/>
        <w:ind w:firstLine="425"/>
        <w:rPr>
          <w:rFonts w:ascii="仿宋" w:hAnsi="仿宋" w:eastAsia="仿宋"/>
          <w:snapToGrid w:val="0"/>
          <w:color w:val="auto"/>
          <w:sz w:val="24"/>
          <w:lang w:eastAsia="zh-CN"/>
        </w:rPr>
      </w:pPr>
      <w:r>
        <w:rPr>
          <w:rFonts w:hint="eastAsia" w:ascii="仿宋" w:hAnsi="仿宋" w:eastAsia="仿宋"/>
          <w:snapToGrid w:val="0"/>
          <w:color w:val="auto"/>
          <w:sz w:val="24"/>
          <w:lang w:eastAsia="zh-CN"/>
        </w:rPr>
        <w:t>以身作则，在诸如社会实践、各类文艺晚会、学校运动会等活动中，积极参加，主动作为，在组织纪律上表现特别突出，视具体情况酌情加0.</w:t>
      </w:r>
      <w:r>
        <w:rPr>
          <w:rFonts w:ascii="仿宋" w:hAnsi="仿宋" w:eastAsia="仿宋"/>
          <w:snapToGrid w:val="0"/>
          <w:color w:val="auto"/>
          <w:sz w:val="24"/>
          <w:lang w:eastAsia="zh-CN"/>
        </w:rPr>
        <w:t>1</w:t>
      </w:r>
      <w:r>
        <w:rPr>
          <w:rFonts w:hint="eastAsia" w:ascii="仿宋" w:hAnsi="仿宋" w:eastAsia="仿宋"/>
          <w:snapToGrid w:val="0"/>
          <w:color w:val="auto"/>
          <w:sz w:val="24"/>
          <w:lang w:eastAsia="zh-CN"/>
        </w:rPr>
        <w:t>-</w:t>
      </w:r>
      <w:r>
        <w:rPr>
          <w:rFonts w:ascii="仿宋" w:hAnsi="仿宋" w:eastAsia="仿宋"/>
          <w:snapToGrid w:val="0"/>
          <w:color w:val="auto"/>
          <w:sz w:val="24"/>
          <w:lang w:eastAsia="zh-CN"/>
        </w:rPr>
        <w:t>1</w:t>
      </w:r>
      <w:r>
        <w:rPr>
          <w:rFonts w:hint="eastAsia" w:ascii="仿宋" w:hAnsi="仿宋" w:eastAsia="仿宋"/>
          <w:snapToGrid w:val="0"/>
          <w:color w:val="auto"/>
          <w:sz w:val="24"/>
          <w:lang w:eastAsia="zh-CN"/>
        </w:rPr>
        <w:t>分。</w:t>
      </w:r>
    </w:p>
    <w:p w14:paraId="7610472A">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（2）减分</w:t>
      </w:r>
    </w:p>
    <w:p w14:paraId="352A7531">
      <w:pPr>
        <w:pStyle w:val="7"/>
        <w:numPr>
          <w:ilvl w:val="0"/>
          <w:numId w:val="8"/>
        </w:numPr>
        <w:spacing w:line="360" w:lineRule="auto"/>
        <w:ind w:firstLine="425"/>
        <w:rPr>
          <w:rFonts w:ascii="仿宋" w:hAnsi="仿宋" w:eastAsia="仿宋"/>
          <w:snapToGrid w:val="0"/>
          <w:color w:val="auto"/>
          <w:sz w:val="24"/>
          <w:lang w:eastAsia="zh-CN"/>
        </w:rPr>
      </w:pPr>
      <w:r>
        <w:rPr>
          <w:rFonts w:hint="eastAsia" w:ascii="仿宋" w:hAnsi="仿宋" w:eastAsia="仿宋"/>
          <w:snapToGrid w:val="0"/>
          <w:color w:val="auto"/>
          <w:sz w:val="24"/>
          <w:szCs w:val="24"/>
          <w:lang w:eastAsia="zh-CN"/>
        </w:rPr>
        <w:t>未经批准，无故缺席学校、</w:t>
      </w:r>
      <w:r>
        <w:rPr>
          <w:rFonts w:hint="eastAsia" w:ascii="仿宋" w:hAnsi="仿宋" w:eastAsia="仿宋"/>
          <w:snapToGrid w:val="0"/>
          <w:color w:val="auto"/>
          <w:sz w:val="24"/>
          <w:szCs w:val="24"/>
          <w:lang w:val="en-US" w:eastAsia="zh-CN"/>
        </w:rPr>
        <w:t>学院</w:t>
      </w:r>
      <w:r>
        <w:rPr>
          <w:rFonts w:hint="eastAsia" w:ascii="仿宋" w:hAnsi="仿宋" w:eastAsia="仿宋"/>
          <w:snapToGrid w:val="0"/>
          <w:color w:val="auto"/>
          <w:sz w:val="24"/>
          <w:szCs w:val="24"/>
          <w:lang w:eastAsia="zh-CN"/>
        </w:rPr>
        <w:t>有关组织指定的集体活动、年级大会、班会、</w:t>
      </w:r>
      <w:r>
        <w:rPr>
          <w:rFonts w:hint="eastAsia" w:ascii="仿宋" w:hAnsi="仿宋" w:eastAsia="仿宋"/>
          <w:snapToGrid w:val="0"/>
          <w:color w:val="auto"/>
          <w:sz w:val="24"/>
          <w:szCs w:val="24"/>
          <w:lang w:val="en-US" w:eastAsia="zh-CN"/>
        </w:rPr>
        <w:t>社会实践</w:t>
      </w:r>
      <w:r>
        <w:rPr>
          <w:rFonts w:hint="eastAsia" w:ascii="仿宋" w:hAnsi="仿宋" w:eastAsia="仿宋"/>
          <w:snapToGrid w:val="0"/>
          <w:color w:val="auto"/>
          <w:sz w:val="24"/>
          <w:szCs w:val="24"/>
          <w:lang w:eastAsia="zh-CN"/>
        </w:rPr>
        <w:t>等活动，每次减0.</w:t>
      </w:r>
      <w:r>
        <w:rPr>
          <w:rFonts w:ascii="仿宋" w:hAnsi="仿宋" w:eastAsia="仿宋"/>
          <w:snapToGrid w:val="0"/>
          <w:color w:val="auto"/>
          <w:sz w:val="24"/>
          <w:szCs w:val="24"/>
          <w:lang w:eastAsia="zh-CN"/>
        </w:rPr>
        <w:t>3</w:t>
      </w:r>
      <w:r>
        <w:rPr>
          <w:rFonts w:hint="eastAsia" w:ascii="仿宋" w:hAnsi="仿宋" w:eastAsia="仿宋"/>
          <w:snapToGrid w:val="0"/>
          <w:color w:val="auto"/>
          <w:sz w:val="24"/>
          <w:szCs w:val="24"/>
          <w:lang w:eastAsia="zh-CN"/>
        </w:rPr>
        <w:t>分；</w:t>
      </w:r>
    </w:p>
    <w:p w14:paraId="24660FF4">
      <w:pPr>
        <w:pStyle w:val="7"/>
        <w:numPr>
          <w:ilvl w:val="0"/>
          <w:numId w:val="8"/>
        </w:numPr>
        <w:spacing w:line="360" w:lineRule="auto"/>
        <w:ind w:firstLine="425"/>
        <w:rPr>
          <w:rFonts w:ascii="仿宋" w:hAnsi="仿宋" w:eastAsia="仿宋"/>
          <w:snapToGrid w:val="0"/>
          <w:color w:val="auto"/>
          <w:sz w:val="24"/>
          <w:lang w:eastAsia="zh-CN"/>
        </w:rPr>
      </w:pPr>
      <w:r>
        <w:rPr>
          <w:rFonts w:hint="eastAsia" w:ascii="仿宋" w:hAnsi="仿宋" w:eastAsia="仿宋"/>
          <w:snapToGrid w:val="0"/>
          <w:color w:val="auto"/>
          <w:sz w:val="24"/>
          <w:szCs w:val="24"/>
          <w:lang w:eastAsia="zh-CN"/>
        </w:rPr>
        <w:t>未经批准，擅自离校</w:t>
      </w:r>
      <w:r>
        <w:rPr>
          <w:rFonts w:hint="eastAsia" w:ascii="仿宋" w:hAnsi="仿宋" w:eastAsia="仿宋"/>
          <w:snapToGrid w:val="0"/>
          <w:color w:val="auto"/>
          <w:sz w:val="24"/>
          <w:szCs w:val="24"/>
          <w:lang w:val="en-US" w:eastAsia="zh-CN"/>
        </w:rPr>
        <w:t>离沪</w:t>
      </w:r>
      <w:r>
        <w:rPr>
          <w:rFonts w:hint="eastAsia" w:ascii="仿宋" w:hAnsi="仿宋" w:eastAsia="仿宋"/>
          <w:snapToGrid w:val="0"/>
          <w:color w:val="auto"/>
          <w:sz w:val="24"/>
          <w:szCs w:val="24"/>
          <w:lang w:eastAsia="zh-CN"/>
        </w:rPr>
        <w:t>，根据情节轻重，酌情减</w:t>
      </w:r>
      <w:r>
        <w:rPr>
          <w:rFonts w:ascii="仿宋" w:hAnsi="仿宋" w:eastAsia="仿宋"/>
          <w:snapToGrid w:val="0"/>
          <w:color w:val="auto"/>
          <w:sz w:val="24"/>
          <w:szCs w:val="24"/>
          <w:lang w:eastAsia="zh-CN"/>
        </w:rPr>
        <w:t>0.5</w:t>
      </w:r>
      <w:r>
        <w:rPr>
          <w:rFonts w:hint="eastAsia" w:ascii="仿宋" w:hAnsi="仿宋" w:eastAsia="仿宋"/>
          <w:snapToGrid w:val="0"/>
          <w:color w:val="auto"/>
          <w:sz w:val="24"/>
          <w:szCs w:val="24"/>
          <w:lang w:eastAsia="zh-CN"/>
        </w:rPr>
        <w:t>-3分；</w:t>
      </w:r>
    </w:p>
    <w:p w14:paraId="27D98AEB">
      <w:pPr>
        <w:pStyle w:val="7"/>
        <w:numPr>
          <w:ilvl w:val="0"/>
          <w:numId w:val="8"/>
        </w:numPr>
        <w:spacing w:line="360" w:lineRule="auto"/>
        <w:ind w:firstLine="425"/>
        <w:rPr>
          <w:rFonts w:ascii="仿宋" w:hAnsi="仿宋" w:eastAsia="仿宋"/>
          <w:snapToGrid w:val="0"/>
          <w:color w:val="auto"/>
          <w:sz w:val="24"/>
          <w:lang w:eastAsia="zh-CN"/>
        </w:rPr>
      </w:pPr>
      <w:r>
        <w:rPr>
          <w:rFonts w:hint="eastAsia" w:ascii="仿宋" w:hAnsi="仿宋" w:eastAsia="仿宋"/>
          <w:snapToGrid w:val="0"/>
          <w:color w:val="auto"/>
          <w:sz w:val="24"/>
          <w:szCs w:val="24"/>
          <w:lang w:eastAsia="zh-CN"/>
        </w:rPr>
        <w:t>违反学校规章制度、有损集体利益，受到处分的，减3分；</w:t>
      </w:r>
    </w:p>
    <w:p w14:paraId="4B3549FA">
      <w:pPr>
        <w:pStyle w:val="7"/>
        <w:numPr>
          <w:ilvl w:val="0"/>
          <w:numId w:val="8"/>
        </w:numPr>
        <w:spacing w:line="360" w:lineRule="auto"/>
        <w:ind w:firstLine="425"/>
        <w:rPr>
          <w:rFonts w:ascii="仿宋" w:hAnsi="仿宋" w:eastAsia="仿宋"/>
          <w:snapToGrid w:val="0"/>
          <w:color w:val="auto"/>
          <w:sz w:val="24"/>
          <w:lang w:eastAsia="zh-CN"/>
        </w:rPr>
      </w:pPr>
      <w:r>
        <w:rPr>
          <w:rFonts w:hint="eastAsia" w:ascii="仿宋" w:hAnsi="仿宋" w:eastAsia="仿宋"/>
          <w:snapToGrid w:val="0"/>
          <w:color w:val="auto"/>
          <w:sz w:val="24"/>
          <w:lang w:eastAsia="zh-CN"/>
        </w:rPr>
        <w:t>在宿舍、教室等公共场所违反行为规范，造成不良后果的，减3分。</w:t>
      </w:r>
    </w:p>
    <w:p w14:paraId="133D1C62">
      <w:pPr>
        <w:spacing w:line="360" w:lineRule="auto"/>
        <w:ind w:firstLine="482" w:firstLineChars="200"/>
        <w:rPr>
          <w:rFonts w:ascii="仿宋" w:hAnsi="仿宋" w:eastAsia="仿宋" w:cs="宋体"/>
          <w:b/>
          <w:snapToGrid w:val="0"/>
          <w:color w:val="auto"/>
          <w:kern w:val="0"/>
          <w:sz w:val="24"/>
        </w:rPr>
      </w:pPr>
      <w:r>
        <w:rPr>
          <w:rFonts w:hint="eastAsia" w:ascii="仿宋" w:hAnsi="仿宋" w:eastAsia="仿宋" w:cs="宋体"/>
          <w:b/>
          <w:snapToGrid w:val="0"/>
          <w:color w:val="auto"/>
          <w:kern w:val="0"/>
          <w:sz w:val="24"/>
        </w:rPr>
        <w:t>（三）课堂表现和学习态度</w:t>
      </w:r>
    </w:p>
    <w:p w14:paraId="49D58A39">
      <w:pPr>
        <w:spacing w:line="360" w:lineRule="auto"/>
        <w:ind w:firstLine="480" w:firstLineChars="200"/>
        <w:rPr>
          <w:rFonts w:ascii="仿宋" w:hAnsi="仿宋" w:eastAsia="仿宋" w:cs="宋体"/>
          <w:snapToGrid w:val="0"/>
          <w:color w:val="auto"/>
          <w:kern w:val="0"/>
          <w:sz w:val="24"/>
        </w:rPr>
      </w:pPr>
      <w:r>
        <w:rPr>
          <w:rFonts w:hint="eastAsia" w:ascii="仿宋" w:hAnsi="仿宋" w:eastAsia="仿宋" w:cs="宋体"/>
          <w:snapToGrid w:val="0"/>
          <w:color w:val="auto"/>
          <w:kern w:val="0"/>
          <w:sz w:val="24"/>
        </w:rPr>
        <w:t>总分为</w:t>
      </w:r>
      <w:r>
        <w:rPr>
          <w:rFonts w:ascii="仿宋" w:hAnsi="仿宋" w:eastAsia="仿宋" w:cs="宋体"/>
          <w:snapToGrid w:val="0"/>
          <w:color w:val="auto"/>
          <w:kern w:val="0"/>
          <w:sz w:val="24"/>
        </w:rPr>
        <w:t>6</w:t>
      </w:r>
      <w:r>
        <w:rPr>
          <w:rFonts w:hint="eastAsia" w:ascii="仿宋" w:hAnsi="仿宋" w:eastAsia="仿宋" w:cs="宋体"/>
          <w:snapToGrid w:val="0"/>
          <w:color w:val="auto"/>
          <w:kern w:val="0"/>
          <w:sz w:val="24"/>
        </w:rPr>
        <w:t>分，基本分（即无减分）为</w:t>
      </w:r>
      <w:r>
        <w:rPr>
          <w:rFonts w:ascii="仿宋" w:hAnsi="仿宋" w:eastAsia="仿宋" w:cs="宋体"/>
          <w:snapToGrid w:val="0"/>
          <w:color w:val="auto"/>
          <w:kern w:val="0"/>
          <w:sz w:val="24"/>
        </w:rPr>
        <w:t>5</w:t>
      </w:r>
      <w:r>
        <w:rPr>
          <w:rFonts w:hint="eastAsia" w:ascii="仿宋" w:hAnsi="仿宋" w:eastAsia="仿宋" w:cs="宋体"/>
          <w:snapToGrid w:val="0"/>
          <w:color w:val="auto"/>
          <w:kern w:val="0"/>
          <w:sz w:val="24"/>
        </w:rPr>
        <w:t>分，在基本分的基础上进行加分，加分上限为</w:t>
      </w:r>
      <w:r>
        <w:rPr>
          <w:rFonts w:ascii="仿宋" w:hAnsi="仿宋" w:eastAsia="仿宋" w:cs="宋体"/>
          <w:snapToGrid w:val="0"/>
          <w:color w:val="auto"/>
          <w:kern w:val="0"/>
          <w:sz w:val="24"/>
        </w:rPr>
        <w:t>1</w:t>
      </w:r>
      <w:r>
        <w:rPr>
          <w:rFonts w:hint="eastAsia" w:ascii="仿宋" w:hAnsi="仿宋" w:eastAsia="仿宋" w:cs="宋体"/>
          <w:snapToGrid w:val="0"/>
          <w:color w:val="auto"/>
          <w:kern w:val="0"/>
          <w:sz w:val="24"/>
        </w:rPr>
        <w:t>分。</w:t>
      </w:r>
    </w:p>
    <w:p w14:paraId="2F738DFC">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（1）加分</w:t>
      </w:r>
    </w:p>
    <w:p w14:paraId="56758064">
      <w:pPr>
        <w:spacing w:line="360" w:lineRule="auto"/>
        <w:ind w:firstLine="480" w:firstLineChars="200"/>
        <w:rPr>
          <w:rFonts w:hint="eastAsia" w:ascii="仿宋" w:hAnsi="仿宋" w:eastAsia="仿宋" w:cs="宋体"/>
          <w:snapToGrid w:val="0"/>
          <w:color w:val="auto"/>
          <w:kern w:val="0"/>
          <w:sz w:val="24"/>
          <w:lang w:eastAsia="zh-CN"/>
        </w:rPr>
      </w:pPr>
      <w:r>
        <w:rPr>
          <w:rFonts w:hint="eastAsia" w:ascii="仿宋" w:hAnsi="仿宋" w:eastAsia="仿宋" w:cs="宋体"/>
          <w:snapToGrid w:val="0"/>
          <w:color w:val="auto"/>
          <w:kern w:val="0"/>
          <w:sz w:val="24"/>
          <w:lang w:eastAsia="zh-CN"/>
        </w:rPr>
        <w:t>课堂表现突出、学习取得较大进步，且进步较为显著，</w:t>
      </w:r>
      <w:r>
        <w:rPr>
          <w:rFonts w:hint="eastAsia" w:ascii="仿宋" w:hAnsi="仿宋" w:eastAsia="仿宋" w:cs="宋体"/>
          <w:snapToGrid w:val="0"/>
          <w:color w:val="auto"/>
          <w:kern w:val="0"/>
          <w:sz w:val="24"/>
          <w:lang w:val="en-US" w:eastAsia="zh-CN"/>
        </w:rPr>
        <w:t>综合排名提升三名及以上的可</w:t>
      </w:r>
      <w:r>
        <w:rPr>
          <w:rFonts w:hint="eastAsia" w:ascii="仿宋" w:hAnsi="仿宋" w:eastAsia="仿宋" w:cs="宋体"/>
          <w:snapToGrid w:val="0"/>
          <w:color w:val="auto"/>
          <w:kern w:val="0"/>
          <w:sz w:val="24"/>
          <w:lang w:eastAsia="zh-CN"/>
        </w:rPr>
        <w:t>酌情加0.5-1分，</w:t>
      </w:r>
      <w:r>
        <w:rPr>
          <w:rFonts w:hint="eastAsia" w:ascii="仿宋" w:hAnsi="仿宋" w:eastAsia="仿宋" w:cs="宋体"/>
          <w:snapToGrid w:val="0"/>
          <w:color w:val="auto"/>
          <w:kern w:val="0"/>
          <w:sz w:val="24"/>
          <w:lang w:val="en-US" w:eastAsia="zh-CN"/>
        </w:rPr>
        <w:t>具体分值根据进步幅度进行确定</w:t>
      </w:r>
      <w:r>
        <w:rPr>
          <w:rFonts w:hint="eastAsia" w:ascii="仿宋" w:hAnsi="仿宋" w:eastAsia="仿宋" w:cs="宋体"/>
          <w:snapToGrid w:val="0"/>
          <w:color w:val="auto"/>
          <w:kern w:val="0"/>
          <w:sz w:val="24"/>
          <w:lang w:eastAsia="zh-CN"/>
        </w:rPr>
        <w:t>。</w:t>
      </w:r>
    </w:p>
    <w:p w14:paraId="137A1CE3">
      <w:pPr>
        <w:pStyle w:val="8"/>
        <w:numPr>
          <w:ilvl w:val="0"/>
          <w:numId w:val="9"/>
        </w:numPr>
        <w:spacing w:line="360" w:lineRule="auto"/>
        <w:ind w:firstLineChars="0"/>
        <w:rPr>
          <w:rFonts w:ascii="仿宋" w:hAnsi="仿宋" w:eastAsia="仿宋"/>
          <w:snapToGrid w:val="0"/>
          <w:color w:val="auto"/>
          <w:kern w:val="0"/>
          <w:sz w:val="24"/>
        </w:rPr>
      </w:pPr>
      <w:r>
        <w:rPr>
          <w:rFonts w:hint="eastAsia" w:ascii="仿宋" w:hAnsi="仿宋" w:eastAsia="仿宋"/>
          <w:snapToGrid w:val="0"/>
          <w:color w:val="auto"/>
          <w:kern w:val="0"/>
          <w:sz w:val="24"/>
        </w:rPr>
        <w:t>减分</w:t>
      </w:r>
    </w:p>
    <w:p w14:paraId="753B11C4">
      <w:pPr>
        <w:pStyle w:val="7"/>
        <w:numPr>
          <w:ilvl w:val="0"/>
          <w:numId w:val="10"/>
        </w:numPr>
        <w:spacing w:line="360" w:lineRule="auto"/>
        <w:ind w:firstLine="425"/>
        <w:jc w:val="both"/>
        <w:rPr>
          <w:rFonts w:ascii="仿宋" w:hAnsi="仿宋" w:eastAsia="仿宋"/>
          <w:snapToGrid w:val="0"/>
          <w:color w:val="auto"/>
          <w:sz w:val="24"/>
          <w:szCs w:val="24"/>
          <w:lang w:eastAsia="zh-CN"/>
        </w:rPr>
      </w:pPr>
      <w:r>
        <w:rPr>
          <w:rFonts w:hint="eastAsia" w:ascii="仿宋" w:hAnsi="仿宋" w:eastAsia="仿宋"/>
          <w:snapToGrid w:val="0"/>
          <w:color w:val="auto"/>
          <w:sz w:val="24"/>
          <w:szCs w:val="24"/>
          <w:lang w:eastAsia="zh-CN"/>
        </w:rPr>
        <w:t>学习懈怠、不按时完成教学规定的任务，酌情减0.1-5分；</w:t>
      </w:r>
    </w:p>
    <w:p w14:paraId="1D3FE931">
      <w:pPr>
        <w:pStyle w:val="7"/>
        <w:numPr>
          <w:ilvl w:val="0"/>
          <w:numId w:val="10"/>
        </w:numPr>
        <w:spacing w:line="360" w:lineRule="auto"/>
        <w:ind w:firstLine="425"/>
        <w:jc w:val="both"/>
        <w:rPr>
          <w:rFonts w:ascii="仿宋" w:hAnsi="仿宋" w:eastAsia="仿宋"/>
          <w:snapToGrid w:val="0"/>
          <w:color w:val="auto"/>
          <w:sz w:val="24"/>
          <w:szCs w:val="24"/>
          <w:lang w:eastAsia="zh-CN"/>
        </w:rPr>
      </w:pPr>
      <w:r>
        <w:rPr>
          <w:rFonts w:hint="eastAsia" w:ascii="仿宋" w:hAnsi="仿宋" w:eastAsia="仿宋"/>
          <w:snapToGrid w:val="0"/>
          <w:color w:val="auto"/>
          <w:sz w:val="24"/>
          <w:szCs w:val="24"/>
          <w:lang w:eastAsia="zh-CN"/>
        </w:rPr>
        <w:t>影响教学秩序，迟到、早退、旷课，每次减</w:t>
      </w:r>
      <w:r>
        <w:rPr>
          <w:rFonts w:ascii="仿宋" w:hAnsi="仿宋" w:eastAsia="仿宋"/>
          <w:snapToGrid w:val="0"/>
          <w:color w:val="auto"/>
          <w:sz w:val="24"/>
          <w:szCs w:val="24"/>
          <w:lang w:eastAsia="zh-CN"/>
        </w:rPr>
        <w:t>0.5</w:t>
      </w:r>
      <w:r>
        <w:rPr>
          <w:rFonts w:hint="eastAsia" w:ascii="仿宋" w:hAnsi="仿宋" w:eastAsia="仿宋"/>
          <w:snapToGrid w:val="0"/>
          <w:color w:val="auto"/>
          <w:sz w:val="24"/>
          <w:szCs w:val="24"/>
          <w:lang w:eastAsia="zh-CN"/>
        </w:rPr>
        <w:t>分。</w:t>
      </w:r>
    </w:p>
    <w:p w14:paraId="47A95209">
      <w:pPr>
        <w:spacing w:line="360" w:lineRule="auto"/>
        <w:ind w:firstLine="482" w:firstLineChars="200"/>
        <w:rPr>
          <w:rFonts w:ascii="仿宋" w:hAnsi="仿宋" w:eastAsia="仿宋"/>
          <w:b/>
          <w:snapToGrid w:val="0"/>
          <w:color w:val="auto"/>
          <w:kern w:val="0"/>
          <w:sz w:val="24"/>
        </w:rPr>
      </w:pPr>
      <w:r>
        <w:rPr>
          <w:rFonts w:hint="eastAsia" w:ascii="仿宋" w:hAnsi="仿宋" w:eastAsia="仿宋"/>
          <w:b/>
          <w:snapToGrid w:val="0"/>
          <w:color w:val="auto"/>
          <w:kern w:val="0"/>
          <w:sz w:val="24"/>
        </w:rPr>
        <w:t>（四）创新实践和志愿服务</w:t>
      </w:r>
    </w:p>
    <w:p w14:paraId="74AA49F5">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总分为4分，基本分（即无减分）为2分，在基本分的基础上进行加分，加分上限为2分。</w:t>
      </w:r>
    </w:p>
    <w:p w14:paraId="223240DB">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（1）加分</w:t>
      </w:r>
    </w:p>
    <w:p w14:paraId="47E5238F">
      <w:pPr>
        <w:pStyle w:val="7"/>
        <w:numPr>
          <w:ilvl w:val="0"/>
          <w:numId w:val="11"/>
        </w:numPr>
        <w:spacing w:line="360" w:lineRule="auto"/>
        <w:jc w:val="both"/>
        <w:rPr>
          <w:rFonts w:ascii="仿宋" w:hAnsi="仿宋" w:eastAsia="仿宋"/>
          <w:snapToGrid w:val="0"/>
          <w:color w:val="auto"/>
          <w:sz w:val="24"/>
          <w:lang w:eastAsia="zh-CN"/>
        </w:rPr>
      </w:pPr>
      <w:r>
        <w:rPr>
          <w:rFonts w:hint="eastAsia" w:ascii="仿宋" w:hAnsi="仿宋" w:eastAsia="仿宋"/>
          <w:snapToGrid w:val="0"/>
          <w:color w:val="auto"/>
          <w:sz w:val="24"/>
          <w:lang w:eastAsia="zh-CN"/>
        </w:rPr>
        <w:t>在各类竞赛中获奖或积极参与各类竞赛，根据获奖等级，经学院认定，一等奖加2分，二等奖加1分，三等奖加0</w:t>
      </w:r>
      <w:r>
        <w:rPr>
          <w:rFonts w:ascii="仿宋" w:hAnsi="仿宋" w:eastAsia="仿宋"/>
          <w:snapToGrid w:val="0"/>
          <w:color w:val="auto"/>
          <w:sz w:val="24"/>
          <w:lang w:eastAsia="zh-CN"/>
        </w:rPr>
        <w:t>.5</w:t>
      </w:r>
      <w:r>
        <w:rPr>
          <w:rFonts w:hint="eastAsia" w:ascii="仿宋" w:hAnsi="仿宋" w:eastAsia="仿宋"/>
          <w:snapToGrid w:val="0"/>
          <w:color w:val="auto"/>
          <w:sz w:val="24"/>
          <w:lang w:eastAsia="zh-CN"/>
        </w:rPr>
        <w:t>分；</w:t>
      </w:r>
    </w:p>
    <w:p w14:paraId="0B30F6FD">
      <w:pPr>
        <w:pStyle w:val="7"/>
        <w:numPr>
          <w:ilvl w:val="0"/>
          <w:numId w:val="11"/>
        </w:numPr>
        <w:spacing w:line="360" w:lineRule="auto"/>
        <w:jc w:val="both"/>
        <w:rPr>
          <w:rFonts w:ascii="仿宋" w:hAnsi="仿宋" w:eastAsia="仿宋"/>
          <w:snapToGrid w:val="0"/>
          <w:color w:val="auto"/>
          <w:sz w:val="24"/>
          <w:lang w:eastAsia="zh-CN"/>
        </w:rPr>
      </w:pPr>
      <w:r>
        <w:rPr>
          <w:rFonts w:hint="eastAsia" w:ascii="仿宋" w:hAnsi="仿宋" w:eastAsia="仿宋"/>
          <w:snapToGrid w:val="0"/>
          <w:color w:val="auto"/>
          <w:sz w:val="24"/>
          <w:lang w:eastAsia="zh-CN"/>
        </w:rPr>
        <w:t>在社会实践、文艺晚会、志愿服务等实践类活动中，能积极承担负责人或组长角色，认真负责，态度端正，受到表彰的，经学院认定可加2分，有突出表现的，经学院认定可加</w:t>
      </w:r>
      <w:r>
        <w:rPr>
          <w:rFonts w:ascii="仿宋" w:hAnsi="仿宋" w:eastAsia="仿宋"/>
          <w:snapToGrid w:val="0"/>
          <w:color w:val="auto"/>
          <w:sz w:val="24"/>
          <w:lang w:eastAsia="zh-CN"/>
        </w:rPr>
        <w:t>1</w:t>
      </w:r>
      <w:r>
        <w:rPr>
          <w:rFonts w:hint="eastAsia" w:ascii="仿宋" w:hAnsi="仿宋" w:eastAsia="仿宋"/>
          <w:snapToGrid w:val="0"/>
          <w:color w:val="auto"/>
          <w:sz w:val="24"/>
          <w:lang w:eastAsia="zh-CN"/>
        </w:rPr>
        <w:t>分。积极参加上述活动，听从指挥，取得良好效果，经学院认定可加0</w:t>
      </w:r>
      <w:r>
        <w:rPr>
          <w:rFonts w:ascii="仿宋" w:hAnsi="仿宋" w:eastAsia="仿宋"/>
          <w:snapToGrid w:val="0"/>
          <w:color w:val="auto"/>
          <w:sz w:val="24"/>
          <w:lang w:eastAsia="zh-CN"/>
        </w:rPr>
        <w:t>.1</w:t>
      </w:r>
      <w:r>
        <w:rPr>
          <w:rFonts w:hint="eastAsia" w:ascii="仿宋" w:hAnsi="仿宋" w:eastAsia="仿宋"/>
          <w:snapToGrid w:val="0"/>
          <w:color w:val="auto"/>
          <w:sz w:val="24"/>
          <w:lang w:eastAsia="zh-CN"/>
        </w:rPr>
        <w:t>分。</w:t>
      </w:r>
    </w:p>
    <w:p w14:paraId="5E5F73E3">
      <w:pPr>
        <w:pStyle w:val="7"/>
        <w:numPr>
          <w:ilvl w:val="0"/>
          <w:numId w:val="11"/>
        </w:numPr>
        <w:spacing w:line="360" w:lineRule="auto"/>
        <w:jc w:val="both"/>
        <w:rPr>
          <w:rFonts w:ascii="仿宋" w:hAnsi="仿宋" w:eastAsia="仿宋"/>
          <w:snapToGrid w:val="0"/>
          <w:color w:val="auto"/>
          <w:sz w:val="24"/>
          <w:lang w:eastAsia="zh-CN"/>
        </w:rPr>
      </w:pPr>
      <w:r>
        <w:rPr>
          <w:rFonts w:hint="eastAsia" w:ascii="仿宋" w:hAnsi="仿宋" w:eastAsia="仿宋"/>
          <w:snapToGrid w:val="0"/>
          <w:sz w:val="24"/>
          <w:szCs w:val="24"/>
          <w:lang w:eastAsia="zh-CN"/>
        </w:rPr>
        <w:t>认真参加学院发布或认可的本学院、校学生工作部（处）或校团委组织的各类公益活动，按时长标准加分，满4小时加0.05分，上限为0.4分。</w:t>
      </w:r>
    </w:p>
    <w:p w14:paraId="697CE2C7">
      <w:pPr>
        <w:pStyle w:val="7"/>
        <w:numPr>
          <w:ilvl w:val="0"/>
          <w:numId w:val="11"/>
        </w:numPr>
        <w:spacing w:line="360" w:lineRule="auto"/>
        <w:jc w:val="both"/>
        <w:rPr>
          <w:rFonts w:hint="eastAsia" w:ascii="仿宋" w:hAnsi="仿宋" w:eastAsia="仿宋"/>
          <w:snapToGrid w:val="0"/>
          <w:sz w:val="24"/>
          <w:szCs w:val="24"/>
          <w:lang w:eastAsia="zh-CN"/>
        </w:rPr>
      </w:pPr>
      <w:r>
        <w:rPr>
          <w:rFonts w:hint="eastAsia" w:ascii="仿宋" w:hAnsi="仿宋" w:eastAsia="仿宋"/>
          <w:snapToGrid w:val="0"/>
          <w:sz w:val="24"/>
          <w:szCs w:val="24"/>
          <w:lang w:val="en-US" w:eastAsia="zh-CN"/>
        </w:rPr>
        <w:t>报名并成功参加爱心献血每次加0.4分。</w:t>
      </w:r>
    </w:p>
    <w:p w14:paraId="701B017E">
      <w:pPr>
        <w:pStyle w:val="7"/>
        <w:numPr>
          <w:ilvl w:val="0"/>
          <w:numId w:val="11"/>
        </w:numPr>
        <w:spacing w:line="360" w:lineRule="auto"/>
        <w:jc w:val="both"/>
        <w:rPr>
          <w:rFonts w:hint="eastAsia" w:ascii="仿宋" w:hAnsi="仿宋" w:eastAsia="仿宋"/>
          <w:snapToGrid w:val="0"/>
          <w:sz w:val="24"/>
          <w:szCs w:val="24"/>
          <w:lang w:eastAsia="zh-CN"/>
        </w:rPr>
      </w:pPr>
      <w:r>
        <w:rPr>
          <w:rFonts w:hint="eastAsia" w:ascii="仿宋" w:hAnsi="仿宋" w:eastAsia="仿宋"/>
          <w:snapToGrid w:val="0"/>
          <w:sz w:val="24"/>
          <w:szCs w:val="24"/>
          <w:lang w:eastAsia="zh-CN"/>
        </w:rPr>
        <w:t>在校内担任学生干部的，</w:t>
      </w:r>
      <w:r>
        <w:rPr>
          <w:rFonts w:hint="eastAsia" w:ascii="仿宋" w:hAnsi="仿宋" w:eastAsia="仿宋" w:cs="宋体"/>
          <w:snapToGrid w:val="0"/>
          <w:sz w:val="24"/>
          <w:szCs w:val="24"/>
          <w:lang w:eastAsia="zh-CN" w:bidi="ar-SA"/>
        </w:rPr>
        <w:t>按照工作职责分为四级，各级加分存在级差，依据所在部门的德育加分公示材料，</w:t>
      </w:r>
      <w:r>
        <w:rPr>
          <w:rFonts w:hint="eastAsia" w:ascii="仿宋" w:hAnsi="仿宋" w:eastAsia="仿宋"/>
          <w:snapToGrid w:val="0"/>
          <w:sz w:val="24"/>
          <w:szCs w:val="24"/>
          <w:lang w:eastAsia="zh-CN"/>
        </w:rPr>
        <w:t>经奖学金评定小组换算或认定后予以加分，具体评分标准详见下表，加分上限为1.6分。</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777"/>
        <w:gridCol w:w="2268"/>
      </w:tblGrid>
      <w:tr w14:paraId="06ED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32" w:type="dxa"/>
            <w:vAlign w:val="center"/>
          </w:tcPr>
          <w:p w14:paraId="07A5105F">
            <w:pPr>
              <w:spacing w:line="220" w:lineRule="exact"/>
              <w:jc w:val="center"/>
              <w:rPr>
                <w:szCs w:val="21"/>
              </w:rPr>
            </w:pPr>
            <w:r>
              <w:rPr>
                <w:rFonts w:hint="eastAsia"/>
                <w:szCs w:val="21"/>
              </w:rPr>
              <w:t>等级</w:t>
            </w:r>
          </w:p>
        </w:tc>
        <w:tc>
          <w:tcPr>
            <w:tcW w:w="3777" w:type="dxa"/>
            <w:vAlign w:val="center"/>
          </w:tcPr>
          <w:p w14:paraId="40273ACD">
            <w:pPr>
              <w:spacing w:line="220" w:lineRule="exact"/>
              <w:jc w:val="center"/>
              <w:rPr>
                <w:szCs w:val="21"/>
              </w:rPr>
            </w:pPr>
            <w:r>
              <w:rPr>
                <w:rFonts w:hint="eastAsia"/>
                <w:szCs w:val="21"/>
              </w:rPr>
              <w:t>举例</w:t>
            </w:r>
          </w:p>
        </w:tc>
        <w:tc>
          <w:tcPr>
            <w:tcW w:w="2268" w:type="dxa"/>
            <w:vAlign w:val="center"/>
          </w:tcPr>
          <w:p w14:paraId="39D03E64">
            <w:pPr>
              <w:spacing w:line="220" w:lineRule="exact"/>
              <w:jc w:val="center"/>
              <w:rPr>
                <w:szCs w:val="21"/>
              </w:rPr>
            </w:pPr>
            <w:r>
              <w:rPr>
                <w:rFonts w:hint="eastAsia"/>
                <w:szCs w:val="21"/>
              </w:rPr>
              <w:t>分值</w:t>
            </w:r>
          </w:p>
        </w:tc>
      </w:tr>
      <w:tr w14:paraId="3D36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432" w:type="dxa"/>
            <w:vAlign w:val="center"/>
          </w:tcPr>
          <w:p w14:paraId="24C65052">
            <w:pPr>
              <w:spacing w:line="220" w:lineRule="exact"/>
              <w:jc w:val="center"/>
              <w:rPr>
                <w:rFonts w:ascii="宋体" w:hAnsi="宋体" w:cs="宋体"/>
                <w:snapToGrid w:val="0"/>
                <w:kern w:val="0"/>
                <w:szCs w:val="21"/>
              </w:rPr>
            </w:pPr>
            <w:r>
              <w:rPr>
                <w:rFonts w:hint="eastAsia" w:ascii="宋体" w:hAnsi="宋体" w:cs="宋体"/>
                <w:snapToGrid w:val="0"/>
                <w:kern w:val="0"/>
                <w:szCs w:val="21"/>
              </w:rPr>
              <w:t>Ⅰ级</w:t>
            </w:r>
          </w:p>
        </w:tc>
        <w:tc>
          <w:tcPr>
            <w:tcW w:w="3777" w:type="dxa"/>
            <w:vAlign w:val="center"/>
          </w:tcPr>
          <w:p w14:paraId="03960B03">
            <w:pPr>
              <w:spacing w:line="240" w:lineRule="auto"/>
              <w:jc w:val="left"/>
              <w:rPr>
                <w:szCs w:val="21"/>
              </w:rPr>
            </w:pPr>
            <w:r>
              <w:rPr>
                <w:rFonts w:hint="eastAsia" w:ascii="宋体" w:hAnsi="宋体" w:cs="宋体"/>
                <w:snapToGrid w:val="0"/>
                <w:kern w:val="0"/>
                <w:szCs w:val="21"/>
              </w:rPr>
              <w:t>校学联主席团、院系</w:t>
            </w:r>
            <w:r>
              <w:rPr>
                <w:rFonts w:hint="eastAsia" w:ascii="宋体" w:hAnsi="宋体" w:cs="宋体"/>
                <w:snapToGrid w:val="0"/>
                <w:kern w:val="0"/>
                <w:szCs w:val="21"/>
                <w:lang w:val="en-US" w:eastAsia="zh-CN"/>
              </w:rPr>
              <w:t>学联</w:t>
            </w:r>
            <w:r>
              <w:rPr>
                <w:rFonts w:hint="eastAsia" w:ascii="宋体" w:hAnsi="宋体" w:cs="宋体"/>
                <w:snapToGrid w:val="0"/>
                <w:kern w:val="0"/>
                <w:szCs w:val="21"/>
              </w:rPr>
              <w:t>主席团及其他同等职务</w:t>
            </w:r>
          </w:p>
        </w:tc>
        <w:tc>
          <w:tcPr>
            <w:tcW w:w="2268" w:type="dxa"/>
            <w:vAlign w:val="center"/>
          </w:tcPr>
          <w:p w14:paraId="0E635E0E">
            <w:pPr>
              <w:spacing w:line="220" w:lineRule="exact"/>
              <w:jc w:val="left"/>
              <w:rPr>
                <w:szCs w:val="21"/>
              </w:rPr>
            </w:pPr>
            <w:r>
              <w:rPr>
                <w:rFonts w:hint="eastAsia"/>
                <w:snapToGrid w:val="0"/>
                <w:kern w:val="0"/>
                <w:szCs w:val="21"/>
              </w:rPr>
              <w:t>基准分为</w:t>
            </w:r>
            <w:r>
              <w:rPr>
                <w:snapToGrid w:val="0"/>
                <w:kern w:val="0"/>
                <w:szCs w:val="21"/>
              </w:rPr>
              <w:t>1.</w:t>
            </w:r>
            <w:r>
              <w:rPr>
                <w:rFonts w:hint="eastAsia"/>
                <w:snapToGrid w:val="0"/>
                <w:kern w:val="0"/>
                <w:szCs w:val="21"/>
              </w:rPr>
              <w:t>3分，上下浮动</w:t>
            </w:r>
            <w:r>
              <w:rPr>
                <w:snapToGrid w:val="0"/>
                <w:kern w:val="0"/>
                <w:szCs w:val="21"/>
              </w:rPr>
              <w:t>0.</w:t>
            </w:r>
            <w:r>
              <w:rPr>
                <w:rFonts w:hint="eastAsia"/>
                <w:snapToGrid w:val="0"/>
                <w:kern w:val="0"/>
                <w:szCs w:val="21"/>
              </w:rPr>
              <w:t>3分</w:t>
            </w:r>
          </w:p>
        </w:tc>
      </w:tr>
      <w:tr w14:paraId="04AC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1432" w:type="dxa"/>
            <w:vAlign w:val="center"/>
          </w:tcPr>
          <w:p w14:paraId="770D05DD">
            <w:pPr>
              <w:spacing w:line="220" w:lineRule="exact"/>
              <w:jc w:val="center"/>
              <w:rPr>
                <w:rFonts w:ascii="宋体" w:hAnsi="宋体" w:cs="宋体"/>
                <w:snapToGrid w:val="0"/>
                <w:kern w:val="0"/>
                <w:szCs w:val="21"/>
              </w:rPr>
            </w:pPr>
            <w:r>
              <w:rPr>
                <w:rFonts w:hint="eastAsia" w:ascii="宋体" w:hAnsi="宋体" w:cs="宋体"/>
                <w:snapToGrid w:val="0"/>
                <w:kern w:val="0"/>
                <w:szCs w:val="21"/>
              </w:rPr>
              <w:t>Ⅱ级</w:t>
            </w:r>
          </w:p>
        </w:tc>
        <w:tc>
          <w:tcPr>
            <w:tcW w:w="3777" w:type="dxa"/>
            <w:vAlign w:val="center"/>
          </w:tcPr>
          <w:p w14:paraId="5DFC5E03">
            <w:pPr>
              <w:spacing w:line="240" w:lineRule="auto"/>
              <w:jc w:val="left"/>
              <w:rPr>
                <w:szCs w:val="21"/>
              </w:rPr>
            </w:pPr>
            <w:r>
              <w:rPr>
                <w:rFonts w:hint="eastAsia" w:ascii="宋体" w:hAnsi="宋体" w:cs="宋体"/>
                <w:snapToGrid w:val="0"/>
                <w:kern w:val="0"/>
                <w:szCs w:val="21"/>
              </w:rPr>
              <w:t>校学联正副部长</w:t>
            </w:r>
            <w:r>
              <w:rPr>
                <w:rFonts w:hint="eastAsia" w:ascii="宋体" w:hAnsi="宋体" w:cs="宋体"/>
                <w:snapToGrid w:val="0"/>
                <w:kern w:val="0"/>
                <w:szCs w:val="21"/>
                <w:lang w:eastAsia="zh-CN"/>
              </w:rPr>
              <w:t>、</w:t>
            </w:r>
            <w:r>
              <w:rPr>
                <w:rFonts w:hint="eastAsia" w:ascii="宋体" w:hAnsi="宋体" w:cs="宋体"/>
                <w:snapToGrid w:val="0"/>
                <w:kern w:val="0"/>
                <w:szCs w:val="21"/>
              </w:rPr>
              <w:t>院系</w:t>
            </w:r>
            <w:r>
              <w:rPr>
                <w:rFonts w:hint="eastAsia" w:ascii="宋体" w:hAnsi="宋体" w:cs="宋体"/>
                <w:snapToGrid w:val="0"/>
                <w:kern w:val="0"/>
                <w:szCs w:val="21"/>
                <w:lang w:val="en-US" w:eastAsia="zh-CN"/>
              </w:rPr>
              <w:t>学联</w:t>
            </w:r>
            <w:r>
              <w:rPr>
                <w:rFonts w:hint="eastAsia" w:ascii="宋体" w:hAnsi="宋体" w:cs="宋体"/>
                <w:snapToGrid w:val="0"/>
                <w:kern w:val="0"/>
                <w:szCs w:val="21"/>
              </w:rPr>
              <w:t>正副部长、校学联下属社团联及其他组织机构主要负责人、社团主要负责人、各班班长、团支部书记及其他同等职务</w:t>
            </w:r>
          </w:p>
        </w:tc>
        <w:tc>
          <w:tcPr>
            <w:tcW w:w="2268" w:type="dxa"/>
            <w:vAlign w:val="center"/>
          </w:tcPr>
          <w:p w14:paraId="7CE63E45">
            <w:pPr>
              <w:spacing w:line="220" w:lineRule="exact"/>
              <w:jc w:val="left"/>
              <w:rPr>
                <w:szCs w:val="21"/>
              </w:rPr>
            </w:pPr>
            <w:r>
              <w:rPr>
                <w:rFonts w:hint="eastAsia"/>
                <w:snapToGrid w:val="0"/>
                <w:kern w:val="0"/>
                <w:szCs w:val="21"/>
              </w:rPr>
              <w:t>基准分为</w:t>
            </w:r>
            <w:r>
              <w:rPr>
                <w:snapToGrid w:val="0"/>
                <w:kern w:val="0"/>
                <w:szCs w:val="21"/>
              </w:rPr>
              <w:t>1.</w:t>
            </w:r>
            <w:r>
              <w:rPr>
                <w:rFonts w:hint="eastAsia"/>
                <w:snapToGrid w:val="0"/>
                <w:kern w:val="0"/>
                <w:szCs w:val="21"/>
              </w:rPr>
              <w:t>0分，上下浮动</w:t>
            </w:r>
            <w:r>
              <w:rPr>
                <w:snapToGrid w:val="0"/>
                <w:kern w:val="0"/>
                <w:szCs w:val="21"/>
              </w:rPr>
              <w:t>0.</w:t>
            </w:r>
            <w:r>
              <w:rPr>
                <w:rFonts w:hint="eastAsia"/>
                <w:snapToGrid w:val="0"/>
                <w:kern w:val="0"/>
                <w:szCs w:val="21"/>
              </w:rPr>
              <w:t>3分</w:t>
            </w:r>
          </w:p>
        </w:tc>
      </w:tr>
      <w:tr w14:paraId="43A2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32" w:type="dxa"/>
            <w:vAlign w:val="center"/>
          </w:tcPr>
          <w:p w14:paraId="2FFAB1AD">
            <w:pPr>
              <w:spacing w:line="220" w:lineRule="exact"/>
              <w:ind w:firstLine="420" w:firstLineChars="200"/>
              <w:rPr>
                <w:rFonts w:ascii="宋体" w:hAnsi="宋体" w:cs="宋体"/>
                <w:snapToGrid w:val="0"/>
                <w:kern w:val="0"/>
                <w:szCs w:val="21"/>
              </w:rPr>
            </w:pPr>
            <w:r>
              <w:rPr>
                <w:rFonts w:hint="eastAsia" w:ascii="宋体" w:hAnsi="宋体" w:cs="宋体"/>
                <w:snapToGrid w:val="0"/>
                <w:kern w:val="0"/>
                <w:szCs w:val="21"/>
              </w:rPr>
              <w:t>Ⅲ级</w:t>
            </w:r>
          </w:p>
        </w:tc>
        <w:tc>
          <w:tcPr>
            <w:tcW w:w="3777" w:type="dxa"/>
            <w:vAlign w:val="center"/>
          </w:tcPr>
          <w:p w14:paraId="2B1E6830">
            <w:pPr>
              <w:spacing w:line="240" w:lineRule="auto"/>
              <w:jc w:val="left"/>
              <w:rPr>
                <w:szCs w:val="21"/>
              </w:rPr>
            </w:pPr>
            <w:r>
              <w:rPr>
                <w:rFonts w:hint="eastAsia" w:ascii="宋体" w:hAnsi="宋体" w:cs="宋体"/>
                <w:snapToGrid w:val="0"/>
                <w:kern w:val="0"/>
                <w:szCs w:val="21"/>
              </w:rPr>
              <w:t>校内非勤工助学岗位部门助理</w:t>
            </w:r>
          </w:p>
        </w:tc>
        <w:tc>
          <w:tcPr>
            <w:tcW w:w="2268" w:type="dxa"/>
            <w:vAlign w:val="center"/>
          </w:tcPr>
          <w:p w14:paraId="7E665A72">
            <w:pPr>
              <w:spacing w:line="220" w:lineRule="exact"/>
              <w:jc w:val="left"/>
              <w:rPr>
                <w:snapToGrid w:val="0"/>
                <w:kern w:val="0"/>
                <w:szCs w:val="21"/>
              </w:rPr>
            </w:pPr>
            <w:r>
              <w:rPr>
                <w:rFonts w:hint="eastAsia"/>
                <w:snapToGrid w:val="0"/>
                <w:kern w:val="0"/>
                <w:szCs w:val="21"/>
              </w:rPr>
              <w:t>基准分为0.5分，上下浮动0.3分</w:t>
            </w:r>
          </w:p>
        </w:tc>
      </w:tr>
      <w:tr w14:paraId="67EC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32" w:type="dxa"/>
            <w:vAlign w:val="center"/>
          </w:tcPr>
          <w:p w14:paraId="558C9B4F">
            <w:pPr>
              <w:spacing w:line="220" w:lineRule="exact"/>
              <w:jc w:val="center"/>
              <w:rPr>
                <w:w w:val="80"/>
                <w:szCs w:val="21"/>
              </w:rPr>
            </w:pPr>
            <w:r>
              <w:rPr>
                <w:rFonts w:hint="eastAsia" w:ascii="宋体" w:hAnsi="宋体" w:cs="宋体"/>
                <w:snapToGrid w:val="0"/>
                <w:kern w:val="0"/>
                <w:szCs w:val="21"/>
              </w:rPr>
              <w:t>Ⅳ级</w:t>
            </w:r>
          </w:p>
        </w:tc>
        <w:tc>
          <w:tcPr>
            <w:tcW w:w="3777" w:type="dxa"/>
            <w:vAlign w:val="center"/>
          </w:tcPr>
          <w:p w14:paraId="012F0220">
            <w:pPr>
              <w:spacing w:line="240" w:lineRule="auto"/>
              <w:jc w:val="left"/>
              <w:rPr>
                <w:szCs w:val="21"/>
              </w:rPr>
            </w:pPr>
            <w:r>
              <w:rPr>
                <w:rFonts w:hint="eastAsia" w:ascii="宋体" w:hAnsi="宋体" w:cs="宋体"/>
                <w:snapToGrid w:val="0"/>
                <w:kern w:val="0"/>
                <w:szCs w:val="21"/>
              </w:rPr>
              <w:t>校学联正副组长、</w:t>
            </w:r>
            <w:r>
              <w:rPr>
                <w:rFonts w:hint="eastAsia"/>
                <w:snapToGrid w:val="0"/>
                <w:kern w:val="0"/>
                <w:szCs w:val="21"/>
              </w:rPr>
              <w:t>干事、院系</w:t>
            </w:r>
            <w:r>
              <w:rPr>
                <w:rFonts w:hint="eastAsia"/>
                <w:snapToGrid w:val="0"/>
                <w:kern w:val="0"/>
                <w:szCs w:val="21"/>
                <w:lang w:val="en-US" w:eastAsia="zh-CN"/>
              </w:rPr>
              <w:t>学联</w:t>
            </w:r>
            <w:r>
              <w:rPr>
                <w:rFonts w:hint="eastAsia"/>
                <w:snapToGrid w:val="0"/>
                <w:kern w:val="0"/>
                <w:szCs w:val="21"/>
              </w:rPr>
              <w:t>干事、社团联干事、其他组织机构干事、班委</w:t>
            </w:r>
            <w:r>
              <w:rPr>
                <w:rFonts w:hint="eastAsia" w:ascii="宋体" w:hAnsi="宋体" w:cs="宋体"/>
                <w:snapToGrid w:val="0"/>
                <w:kern w:val="0"/>
                <w:szCs w:val="21"/>
              </w:rPr>
              <w:t>及其他同等职务</w:t>
            </w:r>
          </w:p>
        </w:tc>
        <w:tc>
          <w:tcPr>
            <w:tcW w:w="2268" w:type="dxa"/>
            <w:vAlign w:val="center"/>
          </w:tcPr>
          <w:p w14:paraId="3120E4A3">
            <w:pPr>
              <w:spacing w:line="220" w:lineRule="exact"/>
              <w:jc w:val="left"/>
              <w:rPr>
                <w:szCs w:val="21"/>
              </w:rPr>
            </w:pPr>
            <w:r>
              <w:rPr>
                <w:rFonts w:hint="eastAsia"/>
                <w:snapToGrid w:val="0"/>
                <w:kern w:val="0"/>
                <w:szCs w:val="21"/>
              </w:rPr>
              <w:t>基准分为</w:t>
            </w:r>
            <w:r>
              <w:rPr>
                <w:snapToGrid w:val="0"/>
                <w:kern w:val="0"/>
                <w:szCs w:val="21"/>
              </w:rPr>
              <w:t>0.5</w:t>
            </w:r>
            <w:r>
              <w:rPr>
                <w:rFonts w:hint="eastAsia"/>
                <w:snapToGrid w:val="0"/>
                <w:kern w:val="0"/>
                <w:szCs w:val="21"/>
              </w:rPr>
              <w:t>分，上下浮动</w:t>
            </w:r>
            <w:r>
              <w:rPr>
                <w:snapToGrid w:val="0"/>
                <w:kern w:val="0"/>
                <w:szCs w:val="21"/>
              </w:rPr>
              <w:t>0.3</w:t>
            </w:r>
            <w:r>
              <w:rPr>
                <w:rFonts w:hint="eastAsia"/>
                <w:snapToGrid w:val="0"/>
                <w:kern w:val="0"/>
                <w:szCs w:val="21"/>
              </w:rPr>
              <w:t>分</w:t>
            </w:r>
          </w:p>
        </w:tc>
      </w:tr>
    </w:tbl>
    <w:p w14:paraId="6F87D86F">
      <w:pPr>
        <w:pStyle w:val="7"/>
        <w:spacing w:line="360" w:lineRule="auto"/>
        <w:ind w:left="283" w:leftChars="135"/>
        <w:rPr>
          <w:rFonts w:hint="default"/>
          <w:iCs/>
          <w:snapToGrid w:val="0"/>
          <w:sz w:val="21"/>
          <w:szCs w:val="21"/>
          <w:lang w:val="en-US" w:eastAsia="zh-CN"/>
        </w:rPr>
      </w:pPr>
      <w:r>
        <w:rPr>
          <w:rFonts w:hint="eastAsia"/>
          <w:i w:val="0"/>
          <w:iCs/>
          <w:snapToGrid w:val="0"/>
          <w:sz w:val="21"/>
          <w:szCs w:val="21"/>
          <w:lang w:val="en-US" w:eastAsia="zh-CN"/>
        </w:rPr>
        <w:t>注：</w:t>
      </w:r>
      <w:r>
        <w:rPr>
          <w:rFonts w:hint="eastAsia"/>
          <w:iCs/>
          <w:snapToGrid w:val="0"/>
          <w:sz w:val="21"/>
          <w:szCs w:val="21"/>
          <w:lang w:eastAsia="zh-CN"/>
        </w:rPr>
        <w:t>对兼数职的学生干部，不重复加分，选取最高加分。</w:t>
      </w:r>
      <w:r>
        <w:rPr>
          <w:rFonts w:hint="eastAsia"/>
          <w:iCs/>
          <w:snapToGrid w:val="0"/>
          <w:sz w:val="21"/>
          <w:szCs w:val="21"/>
          <w:lang w:val="en-US" w:eastAsia="zh-CN"/>
        </w:rPr>
        <w:t>班委成员具体分值需根据班委述职会上同学们的打分进行确定。</w:t>
      </w:r>
      <w:bookmarkStart w:id="0" w:name="_GoBack"/>
      <w:bookmarkEnd w:id="0"/>
    </w:p>
    <w:p w14:paraId="08C6F31E">
      <w:pPr>
        <w:pStyle w:val="7"/>
        <w:numPr>
          <w:ilvl w:val="0"/>
          <w:numId w:val="11"/>
        </w:numPr>
        <w:spacing w:line="360" w:lineRule="auto"/>
        <w:jc w:val="both"/>
        <w:rPr>
          <w:rFonts w:hint="eastAsia" w:ascii="仿宋" w:hAnsi="仿宋" w:eastAsia="仿宋" w:cs="Times New Roman"/>
          <w:snapToGrid w:val="0"/>
          <w:sz w:val="24"/>
          <w:szCs w:val="24"/>
          <w:lang w:eastAsia="zh-CN"/>
        </w:rPr>
      </w:pPr>
      <w:r>
        <w:rPr>
          <w:rFonts w:hint="eastAsia" w:ascii="仿宋" w:hAnsi="仿宋" w:eastAsia="仿宋" w:cs="Times New Roman"/>
          <w:snapToGrid w:val="0"/>
          <w:sz w:val="24"/>
          <w:szCs w:val="24"/>
          <w:lang w:eastAsia="zh-CN"/>
        </w:rPr>
        <w:t>获得市级</w:t>
      </w:r>
      <w:r>
        <w:rPr>
          <w:rFonts w:hint="eastAsia" w:ascii="仿宋" w:hAnsi="仿宋" w:eastAsia="仿宋" w:cs="Times New Roman"/>
          <w:snapToGrid w:val="0"/>
          <w:sz w:val="24"/>
          <w:szCs w:val="24"/>
          <w:lang w:val="en-US" w:eastAsia="zh-CN"/>
        </w:rPr>
        <w:t>及</w:t>
      </w:r>
      <w:r>
        <w:rPr>
          <w:rFonts w:hint="eastAsia" w:ascii="仿宋" w:hAnsi="仿宋" w:eastAsia="仿宋" w:cs="Times New Roman"/>
          <w:snapToGrid w:val="0"/>
          <w:sz w:val="24"/>
          <w:szCs w:val="24"/>
          <w:lang w:eastAsia="zh-CN"/>
        </w:rPr>
        <w:t>以上社会实践个人荣誉者加0.5分，获得校级社会实践个人荣誉者加0.3分；获市级及以上</w:t>
      </w:r>
      <w:r>
        <w:rPr>
          <w:rFonts w:hint="eastAsia" w:ascii="仿宋" w:hAnsi="仿宋" w:eastAsia="仿宋" w:cs="Times New Roman"/>
          <w:snapToGrid w:val="0"/>
          <w:sz w:val="24"/>
          <w:szCs w:val="24"/>
          <w:lang w:val="en-US" w:eastAsia="zh-CN"/>
        </w:rPr>
        <w:t>社会实践</w:t>
      </w:r>
      <w:r>
        <w:rPr>
          <w:rFonts w:hint="eastAsia" w:ascii="仿宋" w:hAnsi="仿宋" w:eastAsia="仿宋" w:cs="Times New Roman"/>
          <w:snapToGrid w:val="0"/>
          <w:sz w:val="24"/>
          <w:szCs w:val="24"/>
          <w:lang w:eastAsia="zh-CN"/>
        </w:rPr>
        <w:t>团体荣誉的，团体成员加0.3分。</w:t>
      </w:r>
    </w:p>
    <w:p w14:paraId="04C2843A">
      <w:pPr>
        <w:spacing w:line="360" w:lineRule="auto"/>
        <w:ind w:firstLine="480" w:firstLineChars="200"/>
        <w:rPr>
          <w:rFonts w:ascii="仿宋" w:hAnsi="仿宋" w:eastAsia="仿宋"/>
          <w:snapToGrid w:val="0"/>
          <w:color w:val="auto"/>
          <w:kern w:val="0"/>
          <w:sz w:val="24"/>
        </w:rPr>
      </w:pPr>
      <w:r>
        <w:rPr>
          <w:rFonts w:hint="eastAsia" w:ascii="仿宋" w:hAnsi="仿宋" w:eastAsia="仿宋"/>
          <w:snapToGrid w:val="0"/>
          <w:color w:val="auto"/>
          <w:kern w:val="0"/>
          <w:sz w:val="24"/>
        </w:rPr>
        <w:t>（</w:t>
      </w:r>
      <w:r>
        <w:rPr>
          <w:rFonts w:ascii="仿宋" w:hAnsi="仿宋" w:eastAsia="仿宋"/>
          <w:snapToGrid w:val="0"/>
          <w:color w:val="auto"/>
          <w:kern w:val="0"/>
          <w:sz w:val="24"/>
        </w:rPr>
        <w:t>2</w:t>
      </w:r>
      <w:r>
        <w:rPr>
          <w:rFonts w:hint="eastAsia" w:ascii="仿宋" w:hAnsi="仿宋" w:eastAsia="仿宋"/>
          <w:snapToGrid w:val="0"/>
          <w:color w:val="auto"/>
          <w:kern w:val="0"/>
          <w:sz w:val="24"/>
        </w:rPr>
        <w:t>）减分</w:t>
      </w:r>
    </w:p>
    <w:p w14:paraId="212362A4">
      <w:pPr>
        <w:pStyle w:val="7"/>
        <w:numPr>
          <w:ilvl w:val="0"/>
          <w:numId w:val="12"/>
        </w:numPr>
        <w:spacing w:line="360" w:lineRule="auto"/>
        <w:jc w:val="both"/>
        <w:rPr>
          <w:rFonts w:ascii="仿宋" w:hAnsi="仿宋" w:eastAsia="仿宋"/>
          <w:snapToGrid w:val="0"/>
          <w:color w:val="auto"/>
          <w:sz w:val="24"/>
          <w:lang w:eastAsia="zh-CN"/>
        </w:rPr>
      </w:pPr>
      <w:r>
        <w:rPr>
          <w:rFonts w:hint="eastAsia" w:ascii="仿宋" w:hAnsi="仿宋" w:eastAsia="仿宋"/>
          <w:snapToGrid w:val="0"/>
          <w:color w:val="auto"/>
          <w:sz w:val="24"/>
          <w:lang w:eastAsia="zh-CN"/>
        </w:rPr>
        <w:t>在社会实践、志愿活动等集体活动中，态度消极，擅自掉队，迟到、早退，未能完成任务（非不可抗力因素），造成不良影响者酌情减0.1-2分。</w:t>
      </w:r>
    </w:p>
    <w:p w14:paraId="635B8066">
      <w:pPr>
        <w:spacing w:line="360" w:lineRule="auto"/>
        <w:ind w:firstLine="482" w:firstLineChars="200"/>
        <w:rPr>
          <w:rFonts w:ascii="仿宋" w:hAnsi="仿宋" w:eastAsia="仿宋" w:cs="宋体"/>
          <w:b/>
          <w:snapToGrid w:val="0"/>
          <w:color w:val="auto"/>
          <w:kern w:val="0"/>
          <w:sz w:val="24"/>
        </w:rPr>
      </w:pPr>
      <w:r>
        <w:rPr>
          <w:rFonts w:hint="eastAsia" w:ascii="仿宋" w:hAnsi="仿宋" w:eastAsia="仿宋" w:cs="宋体"/>
          <w:b/>
          <w:snapToGrid w:val="0"/>
          <w:color w:val="auto"/>
          <w:kern w:val="0"/>
          <w:sz w:val="24"/>
        </w:rPr>
        <w:t>三、德育测评分评定流程</w:t>
      </w:r>
    </w:p>
    <w:p w14:paraId="7A55E5F0">
      <w:pPr>
        <w:spacing w:line="360" w:lineRule="auto"/>
        <w:ind w:firstLine="480" w:firstLineChars="200"/>
        <w:rPr>
          <w:rFonts w:ascii="仿宋" w:hAnsi="仿宋" w:eastAsia="仿宋" w:cs="宋体"/>
          <w:snapToGrid w:val="0"/>
          <w:color w:val="auto"/>
          <w:kern w:val="0"/>
          <w:sz w:val="24"/>
        </w:rPr>
      </w:pPr>
      <w:r>
        <w:rPr>
          <w:rFonts w:hint="eastAsia" w:ascii="仿宋" w:hAnsi="仿宋" w:eastAsia="仿宋" w:cs="宋体"/>
          <w:snapToGrid w:val="0"/>
          <w:color w:val="auto"/>
          <w:kern w:val="0"/>
          <w:sz w:val="24"/>
        </w:rPr>
        <w:t>1. 每学期期末，学生完成个人德育测评自评小结，在规定时间内将自评小结和相关证明材料一并交至学院学生工作办公室，逾期无效。</w:t>
      </w:r>
    </w:p>
    <w:p w14:paraId="59A8B9A7">
      <w:pPr>
        <w:spacing w:line="360" w:lineRule="auto"/>
        <w:ind w:firstLine="480" w:firstLineChars="200"/>
        <w:rPr>
          <w:rFonts w:ascii="仿宋" w:hAnsi="仿宋" w:eastAsia="仿宋" w:cs="宋体"/>
          <w:snapToGrid w:val="0"/>
          <w:color w:val="auto"/>
          <w:kern w:val="0"/>
          <w:sz w:val="24"/>
        </w:rPr>
      </w:pPr>
      <w:r>
        <w:rPr>
          <w:rFonts w:hint="eastAsia" w:ascii="仿宋" w:hAnsi="仿宋" w:eastAsia="仿宋" w:cs="宋体"/>
          <w:snapToGrid w:val="0"/>
          <w:color w:val="auto"/>
          <w:kern w:val="0"/>
          <w:sz w:val="24"/>
        </w:rPr>
        <w:t>2. 每学期期末，学院召开全体学生德育测评评议会，由辅导员、班长、团支书以及每班推选出的1名学生代表组成评议小组，评议小组依据德育测评分评定细则，根据测评学生的实际情况和相关证明材料对其自评分数进行核算，得出德育测评评议会确定的测评分数。</w:t>
      </w:r>
    </w:p>
    <w:p w14:paraId="1A38159A">
      <w:pPr>
        <w:spacing w:line="360" w:lineRule="auto"/>
        <w:ind w:firstLine="480" w:firstLineChars="200"/>
        <w:rPr>
          <w:rFonts w:ascii="仿宋" w:hAnsi="仿宋" w:eastAsia="仿宋" w:cs="宋体"/>
          <w:snapToGrid w:val="0"/>
          <w:color w:val="auto"/>
          <w:kern w:val="0"/>
          <w:sz w:val="24"/>
          <w:lang w:bidi="en-US"/>
        </w:rPr>
      </w:pPr>
      <w:r>
        <w:rPr>
          <w:rFonts w:hint="eastAsia" w:ascii="仿宋" w:hAnsi="仿宋" w:eastAsia="仿宋" w:cs="宋体"/>
          <w:snapToGrid w:val="0"/>
          <w:color w:val="auto"/>
          <w:kern w:val="0"/>
          <w:sz w:val="24"/>
        </w:rPr>
        <w:t>3</w:t>
      </w:r>
      <w:r>
        <w:rPr>
          <w:rFonts w:ascii="仿宋" w:hAnsi="仿宋" w:eastAsia="仿宋" w:cs="宋体"/>
          <w:snapToGrid w:val="0"/>
          <w:color w:val="auto"/>
          <w:kern w:val="0"/>
          <w:sz w:val="24"/>
        </w:rPr>
        <w:t xml:space="preserve">. </w:t>
      </w:r>
      <w:r>
        <w:rPr>
          <w:rFonts w:hint="eastAsia" w:ascii="仿宋" w:hAnsi="仿宋" w:eastAsia="仿宋" w:cs="宋体"/>
          <w:snapToGrid w:val="0"/>
          <w:color w:val="auto"/>
          <w:kern w:val="0"/>
          <w:sz w:val="24"/>
        </w:rPr>
        <w:t>学院</w:t>
      </w:r>
      <w:r>
        <w:rPr>
          <w:rFonts w:hint="eastAsia" w:ascii="仿宋" w:hAnsi="仿宋" w:eastAsia="仿宋" w:cs="宋体"/>
          <w:snapToGrid w:val="0"/>
          <w:color w:val="auto"/>
          <w:kern w:val="0"/>
          <w:sz w:val="24"/>
          <w:lang w:bidi="en-US"/>
        </w:rPr>
        <w:t>学生工作小组对上述评议会得出的测评分予以审核并确定每生的最终德育测评分。</w:t>
      </w:r>
    </w:p>
    <w:p w14:paraId="75F59596">
      <w:pPr>
        <w:spacing w:line="360" w:lineRule="auto"/>
        <w:ind w:firstLine="480" w:firstLineChars="200"/>
        <w:rPr>
          <w:rFonts w:ascii="仿宋" w:hAnsi="仿宋" w:eastAsia="仿宋" w:cs="宋体"/>
          <w:snapToGrid w:val="0"/>
          <w:color w:val="auto"/>
          <w:kern w:val="0"/>
          <w:sz w:val="24"/>
        </w:rPr>
      </w:pPr>
    </w:p>
    <w:p w14:paraId="1D2FD533">
      <w:pPr>
        <w:spacing w:line="360" w:lineRule="auto"/>
        <w:ind w:firstLine="482" w:firstLineChars="200"/>
        <w:rPr>
          <w:rFonts w:ascii="仿宋" w:hAnsi="仿宋" w:eastAsia="仿宋" w:cs="宋体"/>
          <w:b/>
          <w:bCs/>
          <w:snapToGrid w:val="0"/>
          <w:color w:val="auto"/>
          <w:kern w:val="0"/>
          <w:sz w:val="24"/>
        </w:rPr>
      </w:pPr>
      <w:r>
        <w:rPr>
          <w:rFonts w:hint="eastAsia" w:ascii="仿宋" w:hAnsi="仿宋" w:eastAsia="仿宋" w:cs="宋体"/>
          <w:b/>
          <w:bCs/>
          <w:snapToGrid w:val="0"/>
          <w:color w:val="auto"/>
          <w:kern w:val="0"/>
          <w:sz w:val="24"/>
        </w:rPr>
        <w:t>四、本细则由国教教育学院学生工作小组负责解释。</w:t>
      </w:r>
    </w:p>
    <w:p w14:paraId="1DC49904">
      <w:pPr>
        <w:spacing w:line="360" w:lineRule="auto"/>
        <w:ind w:firstLine="482" w:firstLineChars="200"/>
        <w:rPr>
          <w:rFonts w:ascii="仿宋" w:hAnsi="仿宋" w:eastAsia="仿宋" w:cs="宋体"/>
          <w:b/>
          <w:snapToGrid w:val="0"/>
          <w:color w:val="auto"/>
          <w:kern w:val="0"/>
          <w:sz w:val="24"/>
        </w:rPr>
      </w:pPr>
    </w:p>
    <w:p w14:paraId="128628DD">
      <w:pPr>
        <w:spacing w:line="360" w:lineRule="auto"/>
        <w:ind w:firstLine="482" w:firstLineChars="200"/>
        <w:rPr>
          <w:rFonts w:hint="eastAsia" w:ascii="仿宋" w:hAnsi="仿宋" w:eastAsia="仿宋" w:cs="宋体"/>
          <w:b/>
          <w:bCs/>
          <w:snapToGrid w:val="0"/>
          <w:color w:val="auto"/>
          <w:kern w:val="0"/>
          <w:sz w:val="24"/>
          <w:lang w:eastAsia="zh-CN"/>
        </w:rPr>
      </w:pPr>
      <w:r>
        <w:rPr>
          <w:rFonts w:hint="eastAsia" w:ascii="仿宋" w:hAnsi="仿宋" w:eastAsia="仿宋" w:cs="宋体"/>
          <w:b/>
          <w:bCs/>
          <w:snapToGrid w:val="0"/>
          <w:color w:val="auto"/>
          <w:kern w:val="0"/>
          <w:sz w:val="24"/>
        </w:rPr>
        <w:t>五、本细则即日起施行</w:t>
      </w:r>
      <w:r>
        <w:rPr>
          <w:rFonts w:hint="eastAsia" w:ascii="仿宋" w:hAnsi="仿宋" w:eastAsia="仿宋" w:cs="宋体"/>
          <w:b/>
          <w:bCs/>
          <w:snapToGrid w:val="0"/>
          <w:color w:val="auto"/>
          <w:kern w:val="0"/>
          <w:sz w:val="24"/>
          <w:lang w:eastAsia="zh-CN"/>
        </w:rPr>
        <w:t>。</w:t>
      </w:r>
    </w:p>
    <w:p w14:paraId="3681C35E">
      <w:pPr>
        <w:spacing w:line="360" w:lineRule="auto"/>
        <w:ind w:firstLine="482" w:firstLineChars="200"/>
        <w:rPr>
          <w:rFonts w:ascii="仿宋" w:hAnsi="仿宋" w:eastAsia="仿宋" w:cs="宋体"/>
          <w:b/>
          <w:bCs/>
          <w:snapToGrid w:val="0"/>
          <w:color w:val="auto"/>
          <w:kern w:val="0"/>
          <w:sz w:val="24"/>
        </w:rPr>
      </w:pPr>
    </w:p>
    <w:p w14:paraId="2EA00FDC">
      <w:pPr>
        <w:spacing w:line="360" w:lineRule="auto"/>
        <w:rPr>
          <w:rFonts w:ascii="仿宋" w:hAnsi="仿宋" w:eastAsia="仿宋" w:cs="宋体"/>
          <w:snapToGrid w:val="0"/>
          <w:color w:val="auto"/>
          <w:kern w:val="0"/>
          <w:sz w:val="24"/>
        </w:rPr>
      </w:pPr>
    </w:p>
    <w:p w14:paraId="04F9A265">
      <w:pPr>
        <w:spacing w:line="360" w:lineRule="auto"/>
        <w:ind w:right="480" w:firstLine="480" w:firstLineChars="200"/>
        <w:jc w:val="center"/>
        <w:rPr>
          <w:rFonts w:ascii="仿宋" w:hAnsi="仿宋" w:eastAsia="仿宋" w:cs="宋体"/>
          <w:bCs/>
          <w:snapToGrid w:val="0"/>
          <w:color w:val="auto"/>
          <w:kern w:val="0"/>
          <w:sz w:val="24"/>
        </w:rPr>
      </w:pPr>
      <w:r>
        <w:rPr>
          <w:rFonts w:hint="eastAsia" w:ascii="仿宋" w:hAnsi="仿宋" w:eastAsia="仿宋" w:cs="宋体"/>
          <w:bCs/>
          <w:snapToGrid w:val="0"/>
          <w:color w:val="auto"/>
          <w:kern w:val="0"/>
          <w:sz w:val="24"/>
        </w:rPr>
        <w:t xml:space="preserve">         </w:t>
      </w:r>
      <w:r>
        <w:rPr>
          <w:rFonts w:hint="eastAsia" w:ascii="仿宋" w:hAnsi="仿宋" w:eastAsia="仿宋" w:cs="宋体"/>
          <w:bCs/>
          <w:snapToGrid w:val="0"/>
          <w:color w:val="auto"/>
          <w:kern w:val="0"/>
          <w:sz w:val="24"/>
          <w:lang w:val="en-US" w:eastAsia="zh-CN"/>
        </w:rPr>
        <w:t xml:space="preserve">                         </w:t>
      </w:r>
      <w:r>
        <w:rPr>
          <w:rFonts w:hint="eastAsia" w:ascii="仿宋" w:hAnsi="仿宋" w:eastAsia="仿宋" w:cs="宋体"/>
          <w:bCs/>
          <w:snapToGrid w:val="0"/>
          <w:color w:val="auto"/>
          <w:kern w:val="0"/>
          <w:sz w:val="24"/>
        </w:rPr>
        <w:t>上海外国语大学国际教育学院</w:t>
      </w:r>
    </w:p>
    <w:p w14:paraId="77782AD4">
      <w:pPr>
        <w:spacing w:line="360" w:lineRule="auto"/>
        <w:ind w:right="600" w:firstLine="480" w:firstLineChars="200"/>
        <w:jc w:val="center"/>
        <w:rPr>
          <w:rFonts w:ascii="仿宋" w:hAnsi="仿宋" w:eastAsia="仿宋" w:cs="宋体"/>
          <w:bCs/>
          <w:snapToGrid w:val="0"/>
          <w:color w:val="auto"/>
          <w:kern w:val="0"/>
          <w:sz w:val="24"/>
        </w:rPr>
      </w:pPr>
      <w:r>
        <w:rPr>
          <w:rFonts w:hint="eastAsia" w:ascii="仿宋" w:hAnsi="仿宋" w:eastAsia="仿宋" w:cs="宋体"/>
          <w:bCs/>
          <w:snapToGrid w:val="0"/>
          <w:color w:val="auto"/>
          <w:kern w:val="0"/>
          <w:sz w:val="24"/>
        </w:rPr>
        <w:t xml:space="preserve">                                                20</w:t>
      </w:r>
      <w:r>
        <w:rPr>
          <w:rFonts w:hint="eastAsia" w:ascii="仿宋" w:hAnsi="仿宋" w:eastAsia="仿宋" w:cs="宋体"/>
          <w:bCs/>
          <w:snapToGrid w:val="0"/>
          <w:color w:val="auto"/>
          <w:kern w:val="0"/>
          <w:sz w:val="24"/>
          <w:lang w:val="en-US" w:eastAsia="zh-CN"/>
        </w:rPr>
        <w:t>26</w:t>
      </w:r>
      <w:r>
        <w:rPr>
          <w:rFonts w:hint="eastAsia" w:ascii="仿宋" w:hAnsi="仿宋" w:eastAsia="仿宋" w:cs="宋体"/>
          <w:bCs/>
          <w:snapToGrid w:val="0"/>
          <w:color w:val="auto"/>
          <w:kern w:val="0"/>
          <w:sz w:val="24"/>
        </w:rPr>
        <w:t>年</w:t>
      </w:r>
      <w:r>
        <w:rPr>
          <w:rFonts w:hint="eastAsia" w:ascii="仿宋" w:hAnsi="仿宋" w:eastAsia="仿宋" w:cs="宋体"/>
          <w:bCs/>
          <w:snapToGrid w:val="0"/>
          <w:color w:val="auto"/>
          <w:kern w:val="0"/>
          <w:sz w:val="24"/>
          <w:lang w:val="en-US" w:eastAsia="zh-CN"/>
        </w:rPr>
        <w:t>3</w:t>
      </w:r>
      <w:r>
        <w:rPr>
          <w:rFonts w:hint="eastAsia" w:ascii="仿宋" w:hAnsi="仿宋" w:eastAsia="仿宋" w:cs="宋体"/>
          <w:bCs/>
          <w:snapToGrid w:val="0"/>
          <w:color w:val="auto"/>
          <w:kern w:val="0"/>
          <w:sz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B1D40"/>
    <w:multiLevelType w:val="multilevel"/>
    <w:tmpl w:val="01FB1D40"/>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5122C15"/>
    <w:multiLevelType w:val="multilevel"/>
    <w:tmpl w:val="05122C15"/>
    <w:lvl w:ilvl="0" w:tentative="0">
      <w:start w:val="1"/>
      <w:numFmt w:val="decimalEnclosedCircle"/>
      <w:lvlText w:val="%1"/>
      <w:lvlJc w:val="left"/>
      <w:pPr>
        <w:ind w:left="284" w:hanging="224"/>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7A14EA2"/>
    <w:multiLevelType w:val="multilevel"/>
    <w:tmpl w:val="07A14EA2"/>
    <w:lvl w:ilvl="0" w:tentative="0">
      <w:start w:val="1"/>
      <w:numFmt w:val="decimalEnclosedCircle"/>
      <w:lvlText w:val="%1"/>
      <w:lvlJc w:val="left"/>
      <w:pPr>
        <w:ind w:left="284" w:hanging="224"/>
      </w:pPr>
    </w:lvl>
    <w:lvl w:ilvl="1" w:tentative="0">
      <w:start w:val="1"/>
      <w:numFmt w:val="lowerLetter"/>
      <w:lvlText w:val="%2)"/>
      <w:lvlJc w:val="left"/>
      <w:pPr>
        <w:ind w:left="900" w:hanging="420"/>
      </w:pPr>
    </w:lvl>
    <w:lvl w:ilvl="2" w:tentative="0">
      <w:start w:val="1"/>
      <w:numFmt w:val="lowerRoman"/>
      <w:lvlText w:val="%3."/>
      <w:lvlJc w:val="right"/>
      <w:pPr>
        <w:ind w:left="1320" w:hanging="420"/>
      </w:pPr>
    </w:lvl>
    <w:lvl w:ilvl="3" w:tentative="0">
      <w:start w:val="1"/>
      <w:numFmt w:val="decimal"/>
      <w:lvlText w:val="%4."/>
      <w:lvlJc w:val="left"/>
      <w:pPr>
        <w:ind w:left="1740" w:hanging="420"/>
      </w:pPr>
    </w:lvl>
    <w:lvl w:ilvl="4" w:tentative="0">
      <w:start w:val="1"/>
      <w:numFmt w:val="lowerLetter"/>
      <w:lvlText w:val="%5)"/>
      <w:lvlJc w:val="left"/>
      <w:pPr>
        <w:ind w:left="2160" w:hanging="420"/>
      </w:pPr>
    </w:lvl>
    <w:lvl w:ilvl="5" w:tentative="0">
      <w:start w:val="1"/>
      <w:numFmt w:val="lowerRoman"/>
      <w:lvlText w:val="%6."/>
      <w:lvlJc w:val="right"/>
      <w:pPr>
        <w:ind w:left="2580" w:hanging="420"/>
      </w:pPr>
    </w:lvl>
    <w:lvl w:ilvl="6" w:tentative="0">
      <w:start w:val="1"/>
      <w:numFmt w:val="decimal"/>
      <w:lvlText w:val="%7."/>
      <w:lvlJc w:val="left"/>
      <w:pPr>
        <w:ind w:left="3000" w:hanging="420"/>
      </w:pPr>
    </w:lvl>
    <w:lvl w:ilvl="7" w:tentative="0">
      <w:start w:val="1"/>
      <w:numFmt w:val="lowerLetter"/>
      <w:lvlText w:val="%8)"/>
      <w:lvlJc w:val="left"/>
      <w:pPr>
        <w:ind w:left="3420" w:hanging="420"/>
      </w:pPr>
    </w:lvl>
    <w:lvl w:ilvl="8" w:tentative="0">
      <w:start w:val="1"/>
      <w:numFmt w:val="lowerRoman"/>
      <w:lvlText w:val="%9."/>
      <w:lvlJc w:val="right"/>
      <w:pPr>
        <w:ind w:left="3840" w:hanging="420"/>
      </w:pPr>
    </w:lvl>
  </w:abstractNum>
  <w:abstractNum w:abstractNumId="3">
    <w:nsid w:val="2AED7720"/>
    <w:multiLevelType w:val="multilevel"/>
    <w:tmpl w:val="2AED7720"/>
    <w:lvl w:ilvl="0" w:tentative="0">
      <w:start w:val="1"/>
      <w:numFmt w:val="decimalEnclosedCircle"/>
      <w:lvlText w:val="%1"/>
      <w:lvlJc w:val="left"/>
      <w:pPr>
        <w:ind w:left="284" w:hanging="224"/>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
    <w:nsid w:val="341E2F31"/>
    <w:multiLevelType w:val="multilevel"/>
    <w:tmpl w:val="341E2F31"/>
    <w:lvl w:ilvl="0" w:tentative="0">
      <w:start w:val="1"/>
      <w:numFmt w:val="decimalEnclosedCircle"/>
      <w:lvlText w:val="%1"/>
      <w:lvlJc w:val="left"/>
      <w:pPr>
        <w:ind w:left="284" w:hanging="224"/>
      </w:pPr>
    </w:lvl>
    <w:lvl w:ilvl="1" w:tentative="0">
      <w:start w:val="1"/>
      <w:numFmt w:val="lowerLetter"/>
      <w:lvlText w:val="%2)"/>
      <w:lvlJc w:val="left"/>
      <w:pPr>
        <w:ind w:left="2117" w:hanging="420"/>
      </w:pPr>
    </w:lvl>
    <w:lvl w:ilvl="2" w:tentative="0">
      <w:start w:val="1"/>
      <w:numFmt w:val="lowerRoman"/>
      <w:lvlText w:val="%3."/>
      <w:lvlJc w:val="right"/>
      <w:pPr>
        <w:ind w:left="2537" w:hanging="420"/>
      </w:pPr>
    </w:lvl>
    <w:lvl w:ilvl="3" w:tentative="0">
      <w:start w:val="1"/>
      <w:numFmt w:val="decimal"/>
      <w:lvlText w:val="%4."/>
      <w:lvlJc w:val="left"/>
      <w:pPr>
        <w:ind w:left="2957" w:hanging="420"/>
      </w:pPr>
    </w:lvl>
    <w:lvl w:ilvl="4" w:tentative="0">
      <w:start w:val="1"/>
      <w:numFmt w:val="lowerLetter"/>
      <w:lvlText w:val="%5)"/>
      <w:lvlJc w:val="left"/>
      <w:pPr>
        <w:ind w:left="3377" w:hanging="420"/>
      </w:pPr>
    </w:lvl>
    <w:lvl w:ilvl="5" w:tentative="0">
      <w:start w:val="1"/>
      <w:numFmt w:val="lowerRoman"/>
      <w:lvlText w:val="%6."/>
      <w:lvlJc w:val="right"/>
      <w:pPr>
        <w:ind w:left="3797" w:hanging="420"/>
      </w:pPr>
    </w:lvl>
    <w:lvl w:ilvl="6" w:tentative="0">
      <w:start w:val="1"/>
      <w:numFmt w:val="decimal"/>
      <w:lvlText w:val="%7."/>
      <w:lvlJc w:val="left"/>
      <w:pPr>
        <w:ind w:left="4217" w:hanging="420"/>
      </w:pPr>
    </w:lvl>
    <w:lvl w:ilvl="7" w:tentative="0">
      <w:start w:val="1"/>
      <w:numFmt w:val="lowerLetter"/>
      <w:lvlText w:val="%8)"/>
      <w:lvlJc w:val="left"/>
      <w:pPr>
        <w:ind w:left="4637" w:hanging="420"/>
      </w:pPr>
    </w:lvl>
    <w:lvl w:ilvl="8" w:tentative="0">
      <w:start w:val="1"/>
      <w:numFmt w:val="lowerRoman"/>
      <w:lvlText w:val="%9."/>
      <w:lvlJc w:val="right"/>
      <w:pPr>
        <w:ind w:left="5057" w:hanging="420"/>
      </w:pPr>
    </w:lvl>
  </w:abstractNum>
  <w:abstractNum w:abstractNumId="5">
    <w:nsid w:val="366203A6"/>
    <w:multiLevelType w:val="multilevel"/>
    <w:tmpl w:val="366203A6"/>
    <w:lvl w:ilvl="0" w:tentative="0">
      <w:start w:val="1"/>
      <w:numFmt w:val="decimalEnclosedCircle"/>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8076802"/>
    <w:multiLevelType w:val="multilevel"/>
    <w:tmpl w:val="48076802"/>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8B55206"/>
    <w:multiLevelType w:val="multilevel"/>
    <w:tmpl w:val="58B55206"/>
    <w:lvl w:ilvl="0" w:tentative="0">
      <w:start w:val="1"/>
      <w:numFmt w:val="decimalEnclosedCircle"/>
      <w:lvlText w:val="%1"/>
      <w:lvlJc w:val="left"/>
      <w:pPr>
        <w:ind w:left="840" w:hanging="36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46D5CD3"/>
    <w:multiLevelType w:val="multilevel"/>
    <w:tmpl w:val="746D5CD3"/>
    <w:lvl w:ilvl="0" w:tentative="0">
      <w:start w:val="1"/>
      <w:numFmt w:val="decimalEnclosedCircle"/>
      <w:lvlText w:val="%1"/>
      <w:lvlJc w:val="left"/>
      <w:pPr>
        <w:ind w:left="284" w:hanging="224"/>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B12"/>
    <w:rsid w:val="00025563"/>
    <w:rsid w:val="00036C7C"/>
    <w:rsid w:val="0007656D"/>
    <w:rsid w:val="000E4BAA"/>
    <w:rsid w:val="00141BD6"/>
    <w:rsid w:val="00144622"/>
    <w:rsid w:val="0018006D"/>
    <w:rsid w:val="00191710"/>
    <w:rsid w:val="001C59BE"/>
    <w:rsid w:val="002037A6"/>
    <w:rsid w:val="002C205A"/>
    <w:rsid w:val="00364CA0"/>
    <w:rsid w:val="00384ACB"/>
    <w:rsid w:val="00385405"/>
    <w:rsid w:val="003A414B"/>
    <w:rsid w:val="003B00C1"/>
    <w:rsid w:val="003B66BC"/>
    <w:rsid w:val="003C06C3"/>
    <w:rsid w:val="003E5185"/>
    <w:rsid w:val="00420E25"/>
    <w:rsid w:val="004220B5"/>
    <w:rsid w:val="00460E04"/>
    <w:rsid w:val="004730DB"/>
    <w:rsid w:val="004843EF"/>
    <w:rsid w:val="00506A42"/>
    <w:rsid w:val="005177C5"/>
    <w:rsid w:val="00550206"/>
    <w:rsid w:val="005B328C"/>
    <w:rsid w:val="006111FA"/>
    <w:rsid w:val="00654865"/>
    <w:rsid w:val="00666A67"/>
    <w:rsid w:val="00692066"/>
    <w:rsid w:val="006B4F24"/>
    <w:rsid w:val="006B4F7D"/>
    <w:rsid w:val="006D7908"/>
    <w:rsid w:val="00713C15"/>
    <w:rsid w:val="00715B6F"/>
    <w:rsid w:val="007366BE"/>
    <w:rsid w:val="007C3863"/>
    <w:rsid w:val="00822FFB"/>
    <w:rsid w:val="008469EF"/>
    <w:rsid w:val="008D521A"/>
    <w:rsid w:val="008D5D6B"/>
    <w:rsid w:val="008F1B12"/>
    <w:rsid w:val="00977054"/>
    <w:rsid w:val="0098767A"/>
    <w:rsid w:val="009D2995"/>
    <w:rsid w:val="009E105B"/>
    <w:rsid w:val="009E4250"/>
    <w:rsid w:val="00A2183D"/>
    <w:rsid w:val="00A94EE5"/>
    <w:rsid w:val="00B6788E"/>
    <w:rsid w:val="00BA2842"/>
    <w:rsid w:val="00BB2A07"/>
    <w:rsid w:val="00BD5480"/>
    <w:rsid w:val="00C05DC1"/>
    <w:rsid w:val="00C36B2E"/>
    <w:rsid w:val="00C44074"/>
    <w:rsid w:val="00C44461"/>
    <w:rsid w:val="00C81C00"/>
    <w:rsid w:val="00CB15C6"/>
    <w:rsid w:val="00CF4331"/>
    <w:rsid w:val="00CF490F"/>
    <w:rsid w:val="00CF7DF3"/>
    <w:rsid w:val="00D02B38"/>
    <w:rsid w:val="00D22E4D"/>
    <w:rsid w:val="00DA7267"/>
    <w:rsid w:val="00DB19C9"/>
    <w:rsid w:val="00DF13A1"/>
    <w:rsid w:val="00E01A9D"/>
    <w:rsid w:val="00E10E8B"/>
    <w:rsid w:val="00ED09D1"/>
    <w:rsid w:val="00F45EEF"/>
    <w:rsid w:val="00F84DB3"/>
    <w:rsid w:val="00F97E49"/>
    <w:rsid w:val="00FA4684"/>
    <w:rsid w:val="00FD1C43"/>
    <w:rsid w:val="07505E9F"/>
    <w:rsid w:val="0804165B"/>
    <w:rsid w:val="08436841"/>
    <w:rsid w:val="0852693C"/>
    <w:rsid w:val="089E7443"/>
    <w:rsid w:val="0B3F31A0"/>
    <w:rsid w:val="0C656182"/>
    <w:rsid w:val="12637679"/>
    <w:rsid w:val="128E47CA"/>
    <w:rsid w:val="14462313"/>
    <w:rsid w:val="175E16B5"/>
    <w:rsid w:val="1AD76497"/>
    <w:rsid w:val="22D16A5E"/>
    <w:rsid w:val="28E53BEE"/>
    <w:rsid w:val="2C65751D"/>
    <w:rsid w:val="314A0790"/>
    <w:rsid w:val="38C32B11"/>
    <w:rsid w:val="3F0E4E1B"/>
    <w:rsid w:val="41360AB5"/>
    <w:rsid w:val="43EB3493"/>
    <w:rsid w:val="567E3A34"/>
    <w:rsid w:val="59673621"/>
    <w:rsid w:val="5A626832"/>
    <w:rsid w:val="5B104869"/>
    <w:rsid w:val="5C761F6C"/>
    <w:rsid w:val="5DC82BA8"/>
    <w:rsid w:val="5F02037C"/>
    <w:rsid w:val="6371761F"/>
    <w:rsid w:val="65B57D4C"/>
    <w:rsid w:val="66C24ADF"/>
    <w:rsid w:val="67FF4AEA"/>
    <w:rsid w:val="6D376795"/>
    <w:rsid w:val="6E1069E2"/>
    <w:rsid w:val="72990018"/>
    <w:rsid w:val="73861C4D"/>
    <w:rsid w:val="79A642C2"/>
    <w:rsid w:val="7BDB1D3F"/>
    <w:rsid w:val="7C68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widowControl/>
      <w:spacing w:after="200" w:line="276" w:lineRule="auto"/>
      <w:ind w:left="720"/>
      <w:contextualSpacing/>
      <w:jc w:val="left"/>
    </w:pPr>
    <w:rPr>
      <w:rFonts w:ascii="Calibri" w:hAnsi="Calibri"/>
      <w:kern w:val="0"/>
      <w:sz w:val="22"/>
      <w:szCs w:val="22"/>
      <w:lang w:eastAsia="en-US" w:bidi="en-US"/>
    </w:rPr>
  </w:style>
  <w:style w:type="paragraph" w:styleId="8">
    <w:name w:val="List Paragraph"/>
    <w:basedOn w:val="1"/>
    <w:qFormat/>
    <w:uiPriority w:val="34"/>
    <w:pPr>
      <w:ind w:firstLine="420" w:firstLineChars="200"/>
    </w:pPr>
  </w:style>
  <w:style w:type="character" w:customStyle="1" w:styleId="9">
    <w:name w:val="页眉 字符"/>
    <w:basedOn w:val="6"/>
    <w:link w:val="4"/>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 w:type="character" w:customStyle="1" w:styleId="11">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2061</Words>
  <Characters>2142</Characters>
  <Lines>14</Lines>
  <Paragraphs>4</Paragraphs>
  <TotalTime>0</TotalTime>
  <ScaleCrop>false</ScaleCrop>
  <LinksUpToDate>false</LinksUpToDate>
  <CharactersWithSpaces>2230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2019-02-26T05:03:00Z</dcterms:created>
  <dc:creator>Windows User</dc:creator>
  <cp:lastModifiedBy>张庆</cp:lastModifiedBy>
  <cp:lastPrinted>2019-02-27T00:55:00Z</cp:lastPrinted>
  <dcterms:modified xsi:type="dcterms:W3CDTF">2026-03-09T02:29:50Z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6C468AA76B9B491E84E436687F2920C3</vt:lpwstr>
  </property>
  <property fmtid="{D5CDD505-2E9C-101B-9397-08002B2CF9AE}" pid="4" name="KSOTemplateDocerSaveRecord">
    <vt:lpwstr>eyJoZGlkIjoiYWY3ZjVmZjJmOTEwYmFjZmVlYjk1NGQzNjRjNTUyYmQiLCJ1c2VySWQiOiIxNjkwMzUwNzcyIn0=</vt:lpwstr>
  </property>
</Properties>
</file>